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F2" w:rsidRDefault="006D0DF2" w:rsidP="006D0DF2">
      <w:pPr>
        <w:jc w:val="center"/>
        <w:rPr>
          <w:sz w:val="32"/>
          <w:szCs w:val="32"/>
        </w:rPr>
      </w:pPr>
      <w:r>
        <w:rPr>
          <w:sz w:val="32"/>
          <w:szCs w:val="32"/>
        </w:rPr>
        <w:t>ГОЛОВНЕ УПРАВЛІННЯ ПЕНСІЙНОГО ФОНДУ УКРАЇНИ</w:t>
      </w:r>
    </w:p>
    <w:p w:rsidR="006D0DF2" w:rsidRDefault="006D0DF2" w:rsidP="006D0DF2">
      <w:pPr>
        <w:jc w:val="center"/>
        <w:rPr>
          <w:sz w:val="32"/>
          <w:szCs w:val="32"/>
        </w:rPr>
      </w:pPr>
      <w:r>
        <w:rPr>
          <w:sz w:val="32"/>
          <w:szCs w:val="32"/>
        </w:rPr>
        <w:t xml:space="preserve"> В МІСТІ КИЄВІ  ПОВІДОМЛЯЄ</w:t>
      </w:r>
    </w:p>
    <w:p w:rsidR="006D0DF2" w:rsidRDefault="006D0DF2" w:rsidP="006D0DF2">
      <w:pPr>
        <w:jc w:val="both"/>
        <w:rPr>
          <w:sz w:val="20"/>
          <w:szCs w:val="20"/>
        </w:rPr>
      </w:pPr>
    </w:p>
    <w:p w:rsidR="006D0DF2" w:rsidRDefault="006D0DF2" w:rsidP="006D0DF2">
      <w:pPr>
        <w:jc w:val="both"/>
        <w:rPr>
          <w:szCs w:val="28"/>
        </w:rPr>
      </w:pPr>
    </w:p>
    <w:p w:rsidR="006D0DF2" w:rsidRDefault="006D0DF2" w:rsidP="006D0DF2">
      <w:pPr>
        <w:jc w:val="both"/>
        <w:rPr>
          <w:szCs w:val="28"/>
        </w:rPr>
      </w:pPr>
    </w:p>
    <w:p w:rsidR="006D0DF2" w:rsidRDefault="006D0DF2" w:rsidP="006D0DF2">
      <w:pPr>
        <w:pStyle w:val="2"/>
        <w:ind w:firstLine="540"/>
        <w:jc w:val="both"/>
        <w:rPr>
          <w:sz w:val="28"/>
          <w:szCs w:val="28"/>
        </w:rPr>
      </w:pPr>
      <w:r>
        <w:rPr>
          <w:sz w:val="28"/>
          <w:szCs w:val="28"/>
        </w:rPr>
        <w:t>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03.05.2018 року Міністерством фінансів України було проведено конкурс по відбору банків</w:t>
      </w:r>
      <w:r w:rsidR="00BA2719">
        <w:rPr>
          <w:sz w:val="28"/>
          <w:szCs w:val="28"/>
        </w:rPr>
        <w:t>,</w:t>
      </w:r>
      <w:r>
        <w:rPr>
          <w:sz w:val="28"/>
          <w:szCs w:val="28"/>
        </w:rPr>
        <w:t xml:space="preserve"> через які здійснюється виплата пенсій, грошової допомоги та заробітної  плати працівникам бюджетних установ. Відповідно до рішення комісії 31 травня 2018 року закінчується  строк дії договорів про співпрацю з наступними банками:</w:t>
      </w:r>
    </w:p>
    <w:p w:rsidR="006D0DF2" w:rsidRDefault="006D0DF2" w:rsidP="006D0DF2">
      <w:pPr>
        <w:numPr>
          <w:ilvl w:val="0"/>
          <w:numId w:val="1"/>
        </w:numPr>
        <w:tabs>
          <w:tab w:val="clear" w:pos="360"/>
          <w:tab w:val="num" w:pos="1080"/>
        </w:tabs>
        <w:autoSpaceDE w:val="0"/>
        <w:autoSpaceDN w:val="0"/>
        <w:ind w:left="1080"/>
        <w:jc w:val="both"/>
        <w:rPr>
          <w:szCs w:val="28"/>
        </w:rPr>
      </w:pPr>
      <w:r>
        <w:rPr>
          <w:szCs w:val="28"/>
        </w:rPr>
        <w:t xml:space="preserve">ПАТ </w:t>
      </w:r>
      <w:proofErr w:type="spellStart"/>
      <w:r>
        <w:rPr>
          <w:szCs w:val="28"/>
        </w:rPr>
        <w:t>“Перший</w:t>
      </w:r>
      <w:proofErr w:type="spellEnd"/>
      <w:r>
        <w:rPr>
          <w:szCs w:val="28"/>
        </w:rPr>
        <w:t xml:space="preserve">  інвестиційний  </w:t>
      </w:r>
      <w:proofErr w:type="spellStart"/>
      <w:r>
        <w:rPr>
          <w:szCs w:val="28"/>
        </w:rPr>
        <w:t>банк”</w:t>
      </w:r>
      <w:proofErr w:type="spellEnd"/>
    </w:p>
    <w:p w:rsidR="006D0DF2" w:rsidRDefault="006D0DF2" w:rsidP="006D0DF2">
      <w:pPr>
        <w:jc w:val="both"/>
        <w:rPr>
          <w:szCs w:val="28"/>
        </w:rPr>
      </w:pPr>
      <w:r>
        <w:rPr>
          <w:szCs w:val="28"/>
        </w:rPr>
        <w:t xml:space="preserve">            -  ПАТ </w:t>
      </w:r>
      <w:proofErr w:type="spellStart"/>
      <w:r>
        <w:rPr>
          <w:szCs w:val="28"/>
        </w:rPr>
        <w:t>“Правекс-банк”</w:t>
      </w:r>
      <w:proofErr w:type="spellEnd"/>
    </w:p>
    <w:p w:rsidR="006D0DF2" w:rsidRDefault="006D0DF2" w:rsidP="006D0DF2">
      <w:pPr>
        <w:numPr>
          <w:ilvl w:val="0"/>
          <w:numId w:val="1"/>
        </w:numPr>
        <w:tabs>
          <w:tab w:val="clear" w:pos="360"/>
          <w:tab w:val="num" w:pos="1080"/>
        </w:tabs>
        <w:autoSpaceDE w:val="0"/>
        <w:autoSpaceDN w:val="0"/>
        <w:ind w:left="1080"/>
        <w:jc w:val="both"/>
        <w:rPr>
          <w:szCs w:val="28"/>
        </w:rPr>
      </w:pPr>
      <w:r>
        <w:rPr>
          <w:szCs w:val="28"/>
        </w:rPr>
        <w:t xml:space="preserve">ПАТ </w:t>
      </w:r>
      <w:proofErr w:type="spellStart"/>
      <w:r>
        <w:rPr>
          <w:szCs w:val="28"/>
        </w:rPr>
        <w:t>“Таскомбанк”</w:t>
      </w:r>
      <w:proofErr w:type="spellEnd"/>
    </w:p>
    <w:p w:rsidR="006D0DF2" w:rsidRDefault="006D0DF2" w:rsidP="006D0DF2">
      <w:pPr>
        <w:numPr>
          <w:ilvl w:val="0"/>
          <w:numId w:val="1"/>
        </w:numPr>
        <w:tabs>
          <w:tab w:val="clear" w:pos="360"/>
          <w:tab w:val="num" w:pos="1080"/>
        </w:tabs>
        <w:autoSpaceDE w:val="0"/>
        <w:autoSpaceDN w:val="0"/>
        <w:ind w:left="1080"/>
        <w:jc w:val="both"/>
        <w:rPr>
          <w:szCs w:val="28"/>
        </w:rPr>
      </w:pPr>
      <w:r>
        <w:rPr>
          <w:szCs w:val="28"/>
        </w:rPr>
        <w:t xml:space="preserve">ПАТ </w:t>
      </w:r>
      <w:proofErr w:type="spellStart"/>
      <w:r>
        <w:rPr>
          <w:szCs w:val="28"/>
        </w:rPr>
        <w:t>“Комінвестбанк”</w:t>
      </w:r>
      <w:proofErr w:type="spellEnd"/>
    </w:p>
    <w:p w:rsidR="006D0DF2" w:rsidRDefault="006D0DF2" w:rsidP="006D0DF2">
      <w:pPr>
        <w:numPr>
          <w:ilvl w:val="0"/>
          <w:numId w:val="1"/>
        </w:numPr>
        <w:tabs>
          <w:tab w:val="clear" w:pos="360"/>
          <w:tab w:val="num" w:pos="1080"/>
        </w:tabs>
        <w:autoSpaceDE w:val="0"/>
        <w:autoSpaceDN w:val="0"/>
        <w:ind w:left="1080"/>
        <w:jc w:val="both"/>
        <w:rPr>
          <w:szCs w:val="28"/>
        </w:rPr>
      </w:pPr>
      <w:r>
        <w:rPr>
          <w:szCs w:val="28"/>
        </w:rPr>
        <w:t xml:space="preserve">ПАТ </w:t>
      </w:r>
      <w:proofErr w:type="spellStart"/>
      <w:r>
        <w:rPr>
          <w:szCs w:val="28"/>
        </w:rPr>
        <w:t>“Міжнародний</w:t>
      </w:r>
      <w:proofErr w:type="spellEnd"/>
      <w:r>
        <w:rPr>
          <w:szCs w:val="28"/>
        </w:rPr>
        <w:t xml:space="preserve">  інвестиційний  </w:t>
      </w:r>
      <w:proofErr w:type="spellStart"/>
      <w:r>
        <w:rPr>
          <w:szCs w:val="28"/>
        </w:rPr>
        <w:t>банк”</w:t>
      </w:r>
      <w:proofErr w:type="spellEnd"/>
    </w:p>
    <w:p w:rsidR="006D0DF2" w:rsidRDefault="006D0DF2" w:rsidP="006D0DF2">
      <w:pPr>
        <w:numPr>
          <w:ilvl w:val="0"/>
          <w:numId w:val="1"/>
        </w:numPr>
        <w:tabs>
          <w:tab w:val="clear" w:pos="360"/>
          <w:tab w:val="num" w:pos="1080"/>
        </w:tabs>
        <w:autoSpaceDE w:val="0"/>
        <w:autoSpaceDN w:val="0"/>
        <w:ind w:left="1080"/>
        <w:jc w:val="both"/>
        <w:rPr>
          <w:szCs w:val="28"/>
        </w:rPr>
      </w:pPr>
      <w:r>
        <w:rPr>
          <w:szCs w:val="28"/>
        </w:rPr>
        <w:t xml:space="preserve">ПАТ </w:t>
      </w:r>
      <w:proofErr w:type="spellStart"/>
      <w:r>
        <w:rPr>
          <w:szCs w:val="28"/>
        </w:rPr>
        <w:t>“Акцент-банк”</w:t>
      </w:r>
      <w:proofErr w:type="spellEnd"/>
    </w:p>
    <w:p w:rsidR="006D0DF2" w:rsidRDefault="006D0DF2" w:rsidP="006D0DF2">
      <w:pPr>
        <w:tabs>
          <w:tab w:val="left" w:pos="3600"/>
        </w:tabs>
        <w:jc w:val="both"/>
        <w:rPr>
          <w:color w:val="000000"/>
          <w:szCs w:val="28"/>
        </w:rPr>
      </w:pPr>
      <w:r>
        <w:rPr>
          <w:b/>
          <w:bCs/>
          <w:szCs w:val="28"/>
        </w:rPr>
        <w:t xml:space="preserve">      </w:t>
      </w:r>
      <w:r>
        <w:rPr>
          <w:color w:val="000000"/>
          <w:szCs w:val="28"/>
        </w:rPr>
        <w:t xml:space="preserve">Виплата пенсії особам, що отримували пенсію через установи вищезазначеного банку, </w:t>
      </w:r>
      <w:r>
        <w:rPr>
          <w:szCs w:val="28"/>
        </w:rPr>
        <w:t xml:space="preserve">буде </w:t>
      </w:r>
      <w:r>
        <w:rPr>
          <w:color w:val="000000"/>
          <w:szCs w:val="28"/>
        </w:rPr>
        <w:t>проводитись в касі на відділенні поштового зв'язку за місцем проживання пенсіонера (</w:t>
      </w:r>
      <w:proofErr w:type="spellStart"/>
      <w:r>
        <w:rPr>
          <w:color w:val="000000"/>
          <w:szCs w:val="28"/>
        </w:rPr>
        <w:t>доставочна</w:t>
      </w:r>
      <w:proofErr w:type="spellEnd"/>
      <w:r>
        <w:rPr>
          <w:color w:val="000000"/>
          <w:szCs w:val="28"/>
        </w:rPr>
        <w:t xml:space="preserve"> дільниця 50), дата виплати залишається тією ж, що  була  на  банку).</w:t>
      </w:r>
    </w:p>
    <w:p w:rsidR="006D0DF2" w:rsidRDefault="006D0DF2" w:rsidP="006D0DF2">
      <w:pPr>
        <w:tabs>
          <w:tab w:val="left" w:pos="3600"/>
        </w:tabs>
        <w:jc w:val="both"/>
        <w:rPr>
          <w:color w:val="000000"/>
          <w:szCs w:val="28"/>
        </w:rPr>
      </w:pPr>
      <w:r>
        <w:rPr>
          <w:color w:val="000000"/>
          <w:szCs w:val="28"/>
        </w:rPr>
        <w:t xml:space="preserve">      В подальшому за бажанням пенсіонера виплата пенсії може провадитись через установи інших банків, з якими підписано договір на виплату пенсій, або доставлятися додому співробітниками відділень поштового зв’язку. Для цього необхідно подати відповідну заяву до відділу обслуговування громадян за місцем перебування на обліку або до управління з питань виплати пенсій.</w:t>
      </w:r>
    </w:p>
    <w:p w:rsidR="006D0DF2" w:rsidRDefault="006D0DF2" w:rsidP="006D0DF2">
      <w:pPr>
        <w:tabs>
          <w:tab w:val="left" w:pos="3600"/>
        </w:tabs>
        <w:jc w:val="both"/>
        <w:rPr>
          <w:color w:val="000000"/>
          <w:szCs w:val="28"/>
        </w:rPr>
      </w:pPr>
    </w:p>
    <w:p w:rsidR="006D0DF2" w:rsidRDefault="006D0DF2" w:rsidP="006D0DF2">
      <w:pPr>
        <w:tabs>
          <w:tab w:val="left" w:pos="3600"/>
        </w:tabs>
        <w:jc w:val="both"/>
        <w:rPr>
          <w:color w:val="000000"/>
          <w:szCs w:val="28"/>
        </w:rPr>
      </w:pPr>
    </w:p>
    <w:p w:rsidR="006D0DF2" w:rsidRDefault="006D0DF2" w:rsidP="006D0DF2">
      <w:pPr>
        <w:pStyle w:val="1"/>
      </w:pPr>
      <w:r>
        <w:t xml:space="preserve">                                                                                                         </w:t>
      </w:r>
    </w:p>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p w:rsidR="006D0DF2" w:rsidRDefault="006D0DF2" w:rsidP="006D0DF2"/>
    <w:tbl>
      <w:tblPr>
        <w:tblW w:w="0" w:type="auto"/>
        <w:tblLayout w:type="fixed"/>
        <w:tblCellMar>
          <w:left w:w="30" w:type="dxa"/>
          <w:right w:w="30" w:type="dxa"/>
        </w:tblCellMar>
        <w:tblLook w:val="0000"/>
      </w:tblPr>
      <w:tblGrid>
        <w:gridCol w:w="554"/>
        <w:gridCol w:w="6562"/>
      </w:tblGrid>
      <w:tr w:rsidR="006D0DF2" w:rsidTr="00300ABD">
        <w:trPr>
          <w:trHeight w:val="678"/>
        </w:trPr>
        <w:tc>
          <w:tcPr>
            <w:tcW w:w="7116" w:type="dxa"/>
            <w:gridSpan w:val="2"/>
            <w:tcBorders>
              <w:top w:val="single" w:sz="2" w:space="0" w:color="000000"/>
              <w:left w:val="single" w:sz="2" w:space="0" w:color="000000"/>
              <w:bottom w:val="nil"/>
              <w:right w:val="single" w:sz="2" w:space="0" w:color="000000"/>
            </w:tcBorders>
          </w:tcPr>
          <w:p w:rsidR="006D0DF2" w:rsidRDefault="006D0DF2" w:rsidP="00300ABD">
            <w:pPr>
              <w:jc w:val="center"/>
              <w:rPr>
                <w:b/>
                <w:bCs/>
                <w:snapToGrid w:val="0"/>
                <w:color w:val="000000"/>
                <w:sz w:val="36"/>
                <w:szCs w:val="36"/>
              </w:rPr>
            </w:pPr>
            <w:r>
              <w:rPr>
                <w:b/>
                <w:bCs/>
                <w:snapToGrid w:val="0"/>
                <w:color w:val="000000"/>
                <w:sz w:val="36"/>
                <w:szCs w:val="36"/>
              </w:rPr>
              <w:lastRenderedPageBreak/>
              <w:t>Банківські установи, які визначені переможцями конкурсу станом на 07.05.2018</w:t>
            </w:r>
          </w:p>
        </w:tc>
      </w:tr>
      <w:tr w:rsidR="006D0DF2" w:rsidTr="00300ABD">
        <w:trPr>
          <w:trHeight w:val="100"/>
        </w:trPr>
        <w:tc>
          <w:tcPr>
            <w:tcW w:w="554" w:type="dxa"/>
            <w:tcBorders>
              <w:top w:val="nil"/>
              <w:left w:val="single" w:sz="2" w:space="0" w:color="000000"/>
              <w:bottom w:val="single" w:sz="6" w:space="0" w:color="auto"/>
              <w:right w:val="nil"/>
            </w:tcBorders>
          </w:tcPr>
          <w:p w:rsidR="006D0DF2" w:rsidRDefault="006D0DF2" w:rsidP="00300ABD">
            <w:pPr>
              <w:jc w:val="center"/>
              <w:rPr>
                <w:b/>
                <w:bCs/>
                <w:snapToGrid w:val="0"/>
                <w:color w:val="000000"/>
                <w:sz w:val="40"/>
                <w:szCs w:val="40"/>
              </w:rPr>
            </w:pPr>
          </w:p>
        </w:tc>
        <w:tc>
          <w:tcPr>
            <w:tcW w:w="6562" w:type="dxa"/>
            <w:tcBorders>
              <w:top w:val="nil"/>
              <w:left w:val="nil"/>
              <w:bottom w:val="single" w:sz="6" w:space="0" w:color="auto"/>
              <w:right w:val="single" w:sz="2" w:space="0" w:color="000000"/>
            </w:tcBorders>
          </w:tcPr>
          <w:p w:rsidR="006D0DF2" w:rsidRDefault="006D0DF2" w:rsidP="00300ABD">
            <w:pPr>
              <w:jc w:val="center"/>
              <w:rPr>
                <w:b/>
                <w:bCs/>
                <w:snapToGrid w:val="0"/>
                <w:color w:val="000000"/>
                <w:sz w:val="40"/>
                <w:szCs w:val="40"/>
              </w:rPr>
            </w:pPr>
          </w:p>
        </w:tc>
      </w:tr>
      <w:tr w:rsidR="006D0DF2" w:rsidTr="00300ABD">
        <w:trPr>
          <w:trHeight w:val="648"/>
        </w:trPr>
        <w:tc>
          <w:tcPr>
            <w:tcW w:w="554" w:type="dxa"/>
            <w:tcBorders>
              <w:top w:val="single" w:sz="6" w:space="0" w:color="auto"/>
              <w:left w:val="single" w:sz="6" w:space="0" w:color="auto"/>
              <w:bottom w:val="nil"/>
              <w:right w:val="single" w:sz="6" w:space="0" w:color="auto"/>
            </w:tcBorders>
          </w:tcPr>
          <w:p w:rsidR="006D0DF2" w:rsidRDefault="006D0DF2" w:rsidP="00300ABD">
            <w:pPr>
              <w:jc w:val="center"/>
              <w:rPr>
                <w:i/>
                <w:iCs/>
                <w:snapToGrid w:val="0"/>
                <w:color w:val="000000"/>
                <w:szCs w:val="28"/>
              </w:rPr>
            </w:pPr>
            <w:r>
              <w:rPr>
                <w:i/>
                <w:iCs/>
                <w:snapToGrid w:val="0"/>
                <w:color w:val="000000"/>
                <w:szCs w:val="28"/>
              </w:rPr>
              <w:t>№ з/п</w:t>
            </w:r>
          </w:p>
        </w:tc>
        <w:tc>
          <w:tcPr>
            <w:tcW w:w="6562" w:type="dxa"/>
            <w:tcBorders>
              <w:top w:val="single" w:sz="6" w:space="0" w:color="auto"/>
              <w:left w:val="single" w:sz="6" w:space="0" w:color="auto"/>
              <w:bottom w:val="nil"/>
              <w:right w:val="single" w:sz="6" w:space="0" w:color="auto"/>
            </w:tcBorders>
          </w:tcPr>
          <w:p w:rsidR="006D0DF2" w:rsidRDefault="006D0DF2" w:rsidP="00300ABD">
            <w:pPr>
              <w:jc w:val="center"/>
              <w:rPr>
                <w:i/>
                <w:iCs/>
                <w:snapToGrid w:val="0"/>
                <w:color w:val="000000"/>
                <w:szCs w:val="28"/>
              </w:rPr>
            </w:pPr>
            <w:r>
              <w:rPr>
                <w:i/>
                <w:iCs/>
                <w:snapToGrid w:val="0"/>
                <w:color w:val="000000"/>
                <w:szCs w:val="28"/>
              </w:rPr>
              <w:t>Назва банківської установи</w:t>
            </w:r>
          </w:p>
        </w:tc>
      </w:tr>
      <w:tr w:rsidR="006D0DF2" w:rsidTr="00300ABD">
        <w:trPr>
          <w:trHeight w:val="95"/>
        </w:trPr>
        <w:tc>
          <w:tcPr>
            <w:tcW w:w="554" w:type="dxa"/>
            <w:tcBorders>
              <w:top w:val="nil"/>
              <w:left w:val="single" w:sz="6" w:space="0" w:color="auto"/>
              <w:bottom w:val="single" w:sz="6" w:space="0" w:color="auto"/>
              <w:right w:val="single" w:sz="6" w:space="0" w:color="auto"/>
            </w:tcBorders>
          </w:tcPr>
          <w:p w:rsidR="006D0DF2" w:rsidRDefault="006D0DF2" w:rsidP="00300ABD">
            <w:pPr>
              <w:jc w:val="center"/>
              <w:rPr>
                <w:i/>
                <w:iCs/>
                <w:snapToGrid w:val="0"/>
                <w:color w:val="000000"/>
                <w:szCs w:val="28"/>
              </w:rPr>
            </w:pPr>
          </w:p>
        </w:tc>
        <w:tc>
          <w:tcPr>
            <w:tcW w:w="6562" w:type="dxa"/>
            <w:tcBorders>
              <w:top w:val="nil"/>
              <w:left w:val="single" w:sz="6" w:space="0" w:color="auto"/>
              <w:bottom w:val="single" w:sz="6" w:space="0" w:color="auto"/>
              <w:right w:val="single" w:sz="6" w:space="0" w:color="auto"/>
            </w:tcBorders>
          </w:tcPr>
          <w:p w:rsidR="006D0DF2" w:rsidRDefault="006D0DF2" w:rsidP="00300ABD">
            <w:pPr>
              <w:jc w:val="center"/>
              <w:rPr>
                <w:i/>
                <w:iCs/>
                <w:snapToGrid w:val="0"/>
                <w:color w:val="000000"/>
                <w:szCs w:val="28"/>
              </w:rPr>
            </w:pP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 Ідея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 xml:space="preserve">ПАТ "ПІРЕУС БАНК </w:t>
            </w:r>
            <w:proofErr w:type="spellStart"/>
            <w:r>
              <w:rPr>
                <w:snapToGrid w:val="0"/>
                <w:color w:val="000000"/>
                <w:szCs w:val="28"/>
              </w:rPr>
              <w:t>МКБ</w:t>
            </w:r>
            <w:proofErr w:type="spellEnd"/>
            <w:r>
              <w:rPr>
                <w:snapToGrid w:val="0"/>
                <w:color w:val="000000"/>
                <w:szCs w:val="28"/>
              </w:rPr>
              <w:t>"</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АКБ "Львів"</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4</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АБ "</w:t>
            </w:r>
            <w:proofErr w:type="spellStart"/>
            <w:r>
              <w:rPr>
                <w:snapToGrid w:val="0"/>
                <w:color w:val="000000"/>
                <w:szCs w:val="28"/>
              </w:rPr>
              <w:t>Укргазбанк</w:t>
            </w:r>
            <w:proofErr w:type="spellEnd"/>
            <w:r>
              <w:rPr>
                <w:snapToGrid w:val="0"/>
                <w:color w:val="000000"/>
                <w:szCs w:val="28"/>
              </w:rPr>
              <w:t>"</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5</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АТ "АЛЬФА-БАНК"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6</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"УНІВЕРСАЛ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7</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КБ "ПРИВАТБАНК"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8</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 xml:space="preserve">ПАТ " </w:t>
            </w:r>
            <w:proofErr w:type="spellStart"/>
            <w:r>
              <w:rPr>
                <w:snapToGrid w:val="0"/>
                <w:color w:val="000000"/>
                <w:szCs w:val="28"/>
              </w:rPr>
              <w:t>Райффайзен</w:t>
            </w:r>
            <w:proofErr w:type="spellEnd"/>
            <w:r>
              <w:rPr>
                <w:snapToGrid w:val="0"/>
                <w:color w:val="000000"/>
                <w:szCs w:val="28"/>
              </w:rPr>
              <w:t xml:space="preserve"> Банк Аваль"</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9</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АТ  "Державний експортно-імпортний банк України"</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10</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"УКРСОЦБАНК"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11</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АТ "Ощадбанк"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12</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"СКАЙ БАНК" (замість "РЕГІОН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13</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"ІНДУСТРІАЛБАНК"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14</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"Перший Український Міжнародний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15</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АТ "</w:t>
            </w:r>
            <w:proofErr w:type="spellStart"/>
            <w:r>
              <w:rPr>
                <w:snapToGrid w:val="0"/>
                <w:color w:val="000000"/>
                <w:szCs w:val="28"/>
              </w:rPr>
              <w:t>Укрсиббанк</w:t>
            </w:r>
            <w:proofErr w:type="spellEnd"/>
            <w:r>
              <w:rPr>
                <w:snapToGrid w:val="0"/>
                <w:color w:val="000000"/>
                <w:szCs w:val="28"/>
              </w:rPr>
              <w:t>"</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16</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"КРЕДІ АГРІКОЛЬ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17</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"Полтава-Банк"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18</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АБ "ПІВДЕННИЙ"</w:t>
            </w:r>
          </w:p>
        </w:tc>
      </w:tr>
      <w:tr w:rsidR="006D0DF2" w:rsidTr="00300ABD">
        <w:trPr>
          <w:trHeight w:val="386"/>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19</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"КРЕДОБАНК"</w:t>
            </w:r>
          </w:p>
        </w:tc>
      </w:tr>
      <w:tr w:rsidR="006D0DF2" w:rsidTr="00300ABD">
        <w:trPr>
          <w:trHeight w:val="386"/>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20</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СХІДНО - УКРАЇНСЬКИЙ БАНК "ГРАНТ"</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21</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"БАНК ВОСТОК"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22</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"БАНК "КРЕДИТ ДНІПРО"</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23</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"МЕГАБАНК"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24</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"ЮНЕКС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25</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"МОТОР-БАНК"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26</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"БАНК ІНВЕСТИЦІЙ ТА ЗАОЩАДЖЕНЬ"</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27</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"РАДАБАНК"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28</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КБ "АКОРДБАНК"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29</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"Банк Альянс"</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30</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"Комерційний Індустріальний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31</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"АКБ "КОНКОРД"</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32</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"КРИСТАЛБАНК"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33</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"МТБ БАНК"</w:t>
            </w:r>
          </w:p>
        </w:tc>
      </w:tr>
      <w:tr w:rsidR="006D0DF2" w:rsidTr="00300ABD">
        <w:trPr>
          <w:trHeight w:val="343"/>
        </w:trPr>
        <w:tc>
          <w:tcPr>
            <w:tcW w:w="554" w:type="dxa"/>
            <w:tcBorders>
              <w:top w:val="single" w:sz="6" w:space="0" w:color="auto"/>
              <w:left w:val="single" w:sz="6" w:space="0" w:color="auto"/>
              <w:bottom w:val="single" w:sz="6" w:space="0" w:color="auto"/>
              <w:right w:val="single" w:sz="6" w:space="0" w:color="auto"/>
            </w:tcBorders>
            <w:shd w:val="solid" w:color="FFFFFF" w:fill="auto"/>
          </w:tcPr>
          <w:p w:rsidR="006D0DF2" w:rsidRDefault="006D0DF2" w:rsidP="00300ABD">
            <w:pPr>
              <w:jc w:val="center"/>
              <w:rPr>
                <w:snapToGrid w:val="0"/>
                <w:color w:val="000000"/>
                <w:szCs w:val="28"/>
              </w:rPr>
            </w:pPr>
            <w:r>
              <w:rPr>
                <w:snapToGrid w:val="0"/>
                <w:color w:val="000000"/>
                <w:szCs w:val="28"/>
              </w:rPr>
              <w:t>34</w:t>
            </w:r>
          </w:p>
        </w:tc>
        <w:tc>
          <w:tcPr>
            <w:tcW w:w="6562" w:type="dxa"/>
            <w:tcBorders>
              <w:top w:val="single" w:sz="6" w:space="0" w:color="auto"/>
              <w:left w:val="single" w:sz="6" w:space="0" w:color="auto"/>
              <w:bottom w:val="single" w:sz="6" w:space="0" w:color="auto"/>
              <w:right w:val="single" w:sz="6" w:space="0" w:color="auto"/>
            </w:tcBorders>
          </w:tcPr>
          <w:p w:rsidR="006D0DF2" w:rsidRDefault="006D0DF2" w:rsidP="00300ABD">
            <w:pPr>
              <w:rPr>
                <w:snapToGrid w:val="0"/>
                <w:color w:val="000000"/>
                <w:szCs w:val="28"/>
              </w:rPr>
            </w:pPr>
            <w:r>
              <w:rPr>
                <w:snapToGrid w:val="0"/>
                <w:color w:val="000000"/>
                <w:szCs w:val="28"/>
              </w:rPr>
              <w:t>ПАТ "ОТП Банк"</w:t>
            </w:r>
          </w:p>
        </w:tc>
      </w:tr>
    </w:tbl>
    <w:p w:rsidR="006D0DF2" w:rsidRDefault="006D0DF2" w:rsidP="006D0DF2">
      <w:pPr>
        <w:jc w:val="both"/>
        <w:rPr>
          <w:sz w:val="20"/>
          <w:szCs w:val="20"/>
        </w:rPr>
      </w:pPr>
    </w:p>
    <w:p w:rsidR="00D808A2" w:rsidRDefault="00D808A2"/>
    <w:sectPr w:rsidR="00D808A2" w:rsidSect="006D0DF2">
      <w:headerReference w:type="even" r:id="rId7"/>
      <w:headerReference w:type="default" r:id="rId8"/>
      <w:pgSz w:w="11907" w:h="16840" w:code="9"/>
      <w:pgMar w:top="238" w:right="567" w:bottom="426" w:left="1560" w:header="73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45" w:rsidRDefault="00F24D45" w:rsidP="008B42E0">
      <w:r>
        <w:separator/>
      </w:r>
    </w:p>
  </w:endnote>
  <w:endnote w:type="continuationSeparator" w:id="0">
    <w:p w:rsidR="00F24D45" w:rsidRDefault="00F24D45" w:rsidP="008B4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45" w:rsidRDefault="00F24D45" w:rsidP="008B42E0">
      <w:r>
        <w:separator/>
      </w:r>
    </w:p>
  </w:footnote>
  <w:footnote w:type="continuationSeparator" w:id="0">
    <w:p w:rsidR="00F24D45" w:rsidRDefault="00F24D45" w:rsidP="008B4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28" w:rsidRDefault="008B42E0">
    <w:pPr>
      <w:pStyle w:val="a4"/>
      <w:framePr w:wrap="around" w:vAnchor="text" w:hAnchor="margin" w:xAlign="center" w:y="1"/>
      <w:rPr>
        <w:rStyle w:val="a3"/>
      </w:rPr>
    </w:pPr>
    <w:r>
      <w:rPr>
        <w:rStyle w:val="a3"/>
      </w:rPr>
      <w:fldChar w:fldCharType="begin"/>
    </w:r>
    <w:r w:rsidR="006D0DF2">
      <w:rPr>
        <w:rStyle w:val="a3"/>
      </w:rPr>
      <w:instrText xml:space="preserve">PAGE  </w:instrText>
    </w:r>
    <w:r>
      <w:rPr>
        <w:rStyle w:val="a3"/>
      </w:rPr>
      <w:fldChar w:fldCharType="separate"/>
    </w:r>
    <w:r w:rsidR="006D0DF2">
      <w:rPr>
        <w:rStyle w:val="a3"/>
        <w:noProof/>
      </w:rPr>
      <w:t>1</w:t>
    </w:r>
    <w:r>
      <w:rPr>
        <w:rStyle w:val="a3"/>
      </w:rPr>
      <w:fldChar w:fldCharType="end"/>
    </w:r>
  </w:p>
  <w:p w:rsidR="00A42128" w:rsidRDefault="00F24D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28" w:rsidRDefault="00F24D45">
    <w:pPr>
      <w:pStyle w:val="a4"/>
      <w:framePr w:wrap="auto" w:hAnchor="text" w:yAlign="insid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2BAD"/>
    <w:multiLevelType w:val="singleLevel"/>
    <w:tmpl w:val="C7188A20"/>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6D0DF2"/>
    <w:rsid w:val="006D0DF2"/>
    <w:rsid w:val="00892555"/>
    <w:rsid w:val="008B42E0"/>
    <w:rsid w:val="009C527D"/>
    <w:rsid w:val="00BA2719"/>
    <w:rsid w:val="00BD4576"/>
    <w:rsid w:val="00D808A2"/>
    <w:rsid w:val="00DB730B"/>
    <w:rsid w:val="00E2516C"/>
    <w:rsid w:val="00F24D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DF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6D0DF2"/>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DF2"/>
    <w:rPr>
      <w:rFonts w:ascii="Times New Roman" w:eastAsia="Times New Roman" w:hAnsi="Times New Roman" w:cs="Times New Roman"/>
      <w:sz w:val="28"/>
      <w:szCs w:val="20"/>
      <w:lang w:eastAsia="ru-RU"/>
    </w:rPr>
  </w:style>
  <w:style w:type="paragraph" w:styleId="2">
    <w:name w:val="Body Text 2"/>
    <w:basedOn w:val="a"/>
    <w:link w:val="20"/>
    <w:semiHidden/>
    <w:rsid w:val="006D0DF2"/>
    <w:pPr>
      <w:spacing w:after="120"/>
    </w:pPr>
    <w:rPr>
      <w:sz w:val="22"/>
    </w:rPr>
  </w:style>
  <w:style w:type="character" w:customStyle="1" w:styleId="20">
    <w:name w:val="Основной текст 2 Знак"/>
    <w:basedOn w:val="a0"/>
    <w:link w:val="2"/>
    <w:semiHidden/>
    <w:rsid w:val="006D0DF2"/>
    <w:rPr>
      <w:rFonts w:ascii="Times New Roman" w:eastAsia="Times New Roman" w:hAnsi="Times New Roman" w:cs="Times New Roman"/>
      <w:szCs w:val="24"/>
      <w:lang w:eastAsia="ru-RU"/>
    </w:rPr>
  </w:style>
  <w:style w:type="character" w:styleId="a3">
    <w:name w:val="page number"/>
    <w:basedOn w:val="a0"/>
    <w:semiHidden/>
    <w:rsid w:val="006D0DF2"/>
  </w:style>
  <w:style w:type="paragraph" w:styleId="a4">
    <w:name w:val="header"/>
    <w:basedOn w:val="a"/>
    <w:link w:val="a5"/>
    <w:semiHidden/>
    <w:rsid w:val="006D0DF2"/>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Верхний колонтитул Знак"/>
    <w:basedOn w:val="a0"/>
    <w:link w:val="a4"/>
    <w:semiHidden/>
    <w:rsid w:val="006D0DF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1585</Words>
  <Characters>905</Characters>
  <Application>Microsoft Office Word</Application>
  <DocSecurity>0</DocSecurity>
  <Lines>7</Lines>
  <Paragraphs>4</Paragraphs>
  <ScaleCrop>false</ScaleCrop>
  <Company>Grizli777</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3</cp:revision>
  <dcterms:created xsi:type="dcterms:W3CDTF">2018-05-21T08:22:00Z</dcterms:created>
  <dcterms:modified xsi:type="dcterms:W3CDTF">2018-05-21T08:56:00Z</dcterms:modified>
</cp:coreProperties>
</file>