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</w:t>
      </w:r>
      <w:r w:rsidR="00E47F4D" w:rsidRP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 w:rsid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P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</w:t>
      </w:r>
      <w:r w:rsid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</w:t>
      </w:r>
      <w:r w:rsidRP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123B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E47F4D" w:rsidRP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47F4D" w:rsidRP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</w:t>
      </w:r>
      <w:r w:rsidR="00123BF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Pr="000B32F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,</w:t>
      </w: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  </w:t>
      </w: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2D77F2" w:rsidRPr="002D77F2" w:rsidRDefault="002D77F2" w:rsidP="002D7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УМОВИ 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  <w:t>проведення конкурсу</w:t>
      </w:r>
    </w:p>
    <w:p w:rsidR="00535941" w:rsidRPr="002D77F2" w:rsidRDefault="002D77F2" w:rsidP="002D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посад</w:t>
      </w:r>
      <w:r w:rsidR="00A31449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31449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головного спеціаліста відділу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77B1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роботи із зверненнями громадян 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Pr="002D7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(категорія </w:t>
      </w:r>
      <w:r w:rsidR="00A314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535941" w:rsidRPr="002D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»)</w:t>
      </w:r>
    </w:p>
    <w:p w:rsidR="00441364" w:rsidRPr="00BB12C7" w:rsidRDefault="00441364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535941" w:rsidRPr="007F697C" w:rsidTr="00DF6F7F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2410"/>
              <w:gridCol w:w="141"/>
              <w:gridCol w:w="6237"/>
            </w:tblGrid>
            <w:tr w:rsidR="00535941" w:rsidRPr="00A44E59" w:rsidTr="00DF6F7F">
              <w:tc>
                <w:tcPr>
                  <w:tcW w:w="9634" w:type="dxa"/>
                  <w:gridSpan w:val="4"/>
                </w:tcPr>
                <w:p w:rsidR="00535941" w:rsidRPr="00183AF2" w:rsidRDefault="00535941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267F" w:rsidRPr="00A93546" w:rsidTr="00DF6F7F">
              <w:tc>
                <w:tcPr>
                  <w:tcW w:w="3256" w:type="dxa"/>
                  <w:gridSpan w:val="2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D0267F" w:rsidRPr="004E1444" w:rsidRDefault="00D0267F" w:rsidP="00D0267F">
                  <w:pPr>
                    <w:widowControl w:val="0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uk-UA"/>
                    </w:rPr>
                  </w:pPr>
                  <w:r w:rsidRPr="004E1444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здійснення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попередн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ього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розгляд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  та  реєстрація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звернень громадян, запитів на публічну інформацію в інформаційно-телекомунікаційній системі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Єдиний інформаційний простір тер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иторіальної громади міста Києва»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(далі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АСКОД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  <w:r w:rsidRPr="004E1444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D0267F" w:rsidRPr="004E1444" w:rsidRDefault="00D0267F" w:rsidP="00D0267F">
                  <w:pPr>
                    <w:widowControl w:val="0"/>
                    <w:ind w:firstLine="175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</w:pPr>
                </w:p>
                <w:p w:rsidR="00D0267F" w:rsidRDefault="00D0267F" w:rsidP="00D0267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lang w:val="uk-UA"/>
                    </w:rPr>
                  </w:pP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сканування письмових звернень та запитів, адресованих голові, першому заступнику голови, заступнику голови, керівнику апарату та заступнику керівника апарату Подільської районної в місті Києві державної адміністрації, поданих громадянами на особистому прийомі, (в тому числі на виїзному) та направлених електронною поштою, поштою, а також, які надійшли на виконання з виконавчого органу Київської міської ради (Київської міської державної адміністрації)</w:t>
                  </w:r>
                  <w:r w:rsidRPr="004E1444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lang w:val="uk-UA"/>
                    </w:rPr>
                    <w:t>;</w:t>
                  </w:r>
                </w:p>
                <w:p w:rsidR="00D0267F" w:rsidRPr="004E1444" w:rsidRDefault="00D0267F" w:rsidP="00D0267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  <w:spacing w:val="3"/>
                      <w:sz w:val="10"/>
                      <w:szCs w:val="10"/>
                      <w:lang w:val="uk-UA"/>
                    </w:rPr>
                  </w:pPr>
                </w:p>
                <w:p w:rsidR="00D0267F" w:rsidRDefault="00D0267F" w:rsidP="00D0267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  <w:lang w:val="uk-UA"/>
                    </w:rPr>
                  </w:pPr>
                  <w:r w:rsidRPr="004E1444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  <w:lang w:val="uk-UA"/>
                    </w:rPr>
                    <w:t>-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відповідно до визначеного порядку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ення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полей</w:t>
                  </w:r>
                  <w:proofErr w:type="spellEnd"/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реєстраційної картки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модуля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Звернення громадян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Запити на публічну інформацію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АСКОДу</w:t>
                  </w:r>
                  <w:proofErr w:type="spellEnd"/>
                  <w:r w:rsidRPr="004E1444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  <w:lang w:val="uk-UA"/>
                    </w:rPr>
                    <w:t>;</w:t>
                  </w:r>
                </w:p>
                <w:p w:rsidR="00D0267F" w:rsidRPr="003945DC" w:rsidRDefault="00D0267F" w:rsidP="00D0267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10"/>
                      <w:szCs w:val="10"/>
                      <w:lang w:val="uk-UA"/>
                    </w:rPr>
                  </w:pPr>
                </w:p>
                <w:p w:rsidR="00D0267F" w:rsidRDefault="00D0267F" w:rsidP="00D0267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D2E7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підготовка проект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ів</w:t>
                  </w:r>
                  <w:r w:rsidRPr="003D2E7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доручень за зверненнями та запитами на публічну інформацію голови, першого заступника голови, заступника голови, керівника апарату та заступника керівника апарату Подільської районної в місті Києві державної адміністрації, які зареєстровані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АСКОД</w:t>
                  </w:r>
                  <w:r w:rsidRPr="003D2E7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D0267F" w:rsidRPr="003945DC" w:rsidRDefault="00D0267F" w:rsidP="00D0267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</w:pPr>
                </w:p>
                <w:p w:rsidR="00D0267F" w:rsidRPr="003D2E7F" w:rsidRDefault="00D0267F" w:rsidP="00D0267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 w:rsidRPr="003D2E7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підготовка проект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ів</w:t>
                  </w:r>
                  <w:r w:rsidRPr="003D2E7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доручень за зверненнями та запитами на публічну інформацію голови, першого заступника голови, заступника голови, керівника апарату та заступника керівника апарату Подільської районної в місті Києві державної адміністрації, які зареєстровані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АСКОД</w:t>
                  </w:r>
                  <w:r w:rsidRPr="003D2E7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</w:t>
                  </w:r>
                  <w:proofErr w:type="spellEnd"/>
                  <w:r w:rsidRPr="003D2E7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D0267F" w:rsidRPr="004E1444" w:rsidRDefault="00D0267F" w:rsidP="00D0267F">
                  <w:pPr>
                    <w:widowControl w:val="0"/>
                    <w:ind w:firstLine="175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</w:pPr>
                </w:p>
                <w:p w:rsidR="00D0267F" w:rsidRDefault="00D0267F" w:rsidP="00D0267F">
                  <w:pPr>
                    <w:pStyle w:val="2"/>
                    <w:jc w:val="both"/>
                  </w:pPr>
                  <w:r w:rsidRPr="004E1444">
                    <w:t xml:space="preserve">- </w:t>
                  </w:r>
                  <w:r>
                    <w:t>з</w:t>
                  </w:r>
                  <w:r w:rsidRPr="004E1444">
                    <w:t>абезпеч</w:t>
                  </w:r>
                  <w:r>
                    <w:t>ення своєчасного</w:t>
                  </w:r>
                  <w:r w:rsidRPr="004E1444">
                    <w:t xml:space="preserve"> відправлення доручень визначеним виконавцям за зверненнями громадян та запитами на публічну інформацію в </w:t>
                  </w:r>
                  <w:proofErr w:type="spellStart"/>
                  <w:r>
                    <w:t>АСКОД</w:t>
                  </w:r>
                  <w:r w:rsidRPr="003D2E7F">
                    <w:t>і</w:t>
                  </w:r>
                  <w:proofErr w:type="spellEnd"/>
                  <w:r>
                    <w:t>;</w:t>
                  </w:r>
                </w:p>
                <w:p w:rsidR="00D0267F" w:rsidRPr="003945DC" w:rsidRDefault="00D0267F" w:rsidP="00D0267F">
                  <w:pPr>
                    <w:pStyle w:val="2"/>
                    <w:jc w:val="both"/>
                    <w:rPr>
                      <w:sz w:val="10"/>
                      <w:szCs w:val="10"/>
                    </w:rPr>
                  </w:pPr>
                </w:p>
                <w:p w:rsidR="00D0267F" w:rsidRPr="003945DC" w:rsidRDefault="00D0267F" w:rsidP="00D0267F">
                  <w:pPr>
                    <w:pStyle w:val="2"/>
                    <w:jc w:val="both"/>
                  </w:pPr>
                  <w:r>
                    <w:t>- ф</w:t>
                  </w:r>
                  <w:r w:rsidRPr="003945DC">
                    <w:t>орму</w:t>
                  </w:r>
                  <w:r>
                    <w:t>вання</w:t>
                  </w:r>
                  <w:r w:rsidRPr="003945DC">
                    <w:t xml:space="preserve"> та перевір</w:t>
                  </w:r>
                  <w:r>
                    <w:t>ка правильно</w:t>
                  </w:r>
                  <w:r w:rsidRPr="003945DC">
                    <w:t>ст</w:t>
                  </w:r>
                  <w:r>
                    <w:t>і</w:t>
                  </w:r>
                  <w:r w:rsidRPr="003945DC">
                    <w:t xml:space="preserve"> спрямування документів до номенклатури справ, комплекту</w:t>
                  </w:r>
                  <w:r>
                    <w:t>вання</w:t>
                  </w:r>
                  <w:r w:rsidRPr="003945DC">
                    <w:t xml:space="preserve"> архів</w:t>
                  </w:r>
                  <w:r>
                    <w:t>у</w:t>
                  </w:r>
                  <w:r w:rsidRPr="003945DC">
                    <w:t xml:space="preserve"> справ за зверненнями громадян та запитами на публічну інформацію, які надійшли до Подільської районної в місті Києві державної адміністрації;</w:t>
                  </w:r>
                </w:p>
                <w:p w:rsidR="00D0267F" w:rsidRPr="004E1444" w:rsidRDefault="00D0267F" w:rsidP="00D0267F">
                  <w:pPr>
                    <w:widowControl w:val="0"/>
                    <w:ind w:firstLine="175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</w:pPr>
                </w:p>
                <w:p w:rsidR="00D0267F" w:rsidRPr="004E1444" w:rsidRDefault="00D0267F" w:rsidP="00D0267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підготовка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інформаційн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их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довід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к, звіт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ів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про стан розгляду звернень громадян та запитів на публічну 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інформацію у Подільській районній в місті Києві державній адміністрації;</w:t>
                  </w:r>
                </w:p>
                <w:p w:rsidR="00D0267F" w:rsidRPr="004E1444" w:rsidRDefault="00D0267F" w:rsidP="00D0267F">
                  <w:pPr>
                    <w:ind w:firstLine="175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D0267F" w:rsidRDefault="00D0267F" w:rsidP="00D026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E1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розроблення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пропозиці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й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рекомендаці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й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та листування, що відносяться до компетенції відділу</w:t>
                  </w:r>
                  <w:r w:rsidRPr="004E1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D0267F" w:rsidRPr="003945DC" w:rsidRDefault="00D0267F" w:rsidP="00D0267F">
                  <w:pPr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</w:tc>
            </w:tr>
            <w:tr w:rsidR="00D0267F" w:rsidRPr="00A44E59" w:rsidTr="00DF6F7F">
              <w:tc>
                <w:tcPr>
                  <w:tcW w:w="3256" w:type="dxa"/>
                  <w:gridSpan w:val="2"/>
                </w:tcPr>
                <w:p w:rsidR="00D0267F" w:rsidRPr="00A44E59" w:rsidRDefault="00D0267F" w:rsidP="00D0267F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відповідно до Закону України «Про державну службу» та постанови Кабінету Міністрів України від 18.01.2017 №15 «Питання оплати праці працівників державних органів» </w:t>
                  </w:r>
                </w:p>
              </w:tc>
            </w:tr>
            <w:tr w:rsidR="00D0267F" w:rsidRPr="00A44E59" w:rsidTr="00DF6F7F">
              <w:tc>
                <w:tcPr>
                  <w:tcW w:w="3256" w:type="dxa"/>
                  <w:gridSpan w:val="2"/>
                </w:tcPr>
                <w:p w:rsidR="00D0267F" w:rsidRPr="00A44E59" w:rsidRDefault="00D0267F" w:rsidP="00D0267F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D0267F" w:rsidRPr="00A44E59" w:rsidRDefault="00D0267F" w:rsidP="00D0267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Безстроково.                                                                                    </w:t>
                  </w:r>
                </w:p>
              </w:tc>
            </w:tr>
            <w:tr w:rsidR="00D0267F" w:rsidRPr="00A44E59" w:rsidTr="00DF6F7F">
              <w:tc>
                <w:tcPr>
                  <w:tcW w:w="3256" w:type="dxa"/>
                  <w:gridSpan w:val="2"/>
                </w:tcPr>
                <w:p w:rsidR="00D0267F" w:rsidRPr="00A44E59" w:rsidRDefault="00D0267F" w:rsidP="00D0267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Перелік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інформації, необхідної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для участі в конкурсі, та строк ї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подає Комісії або конкурсній комісії через Єдиний портал вакансій державної служби НАДС таку інформацію: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заяву про участь у конкурсі із зазначенням основних мотивів щодо зайняття посади за формою згідно з додатком 2;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резюме за формою згідно з додатком 2</w:t>
                  </w:r>
                  <w:r w:rsidRPr="0070778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uk-UA"/>
                    </w:rPr>
                    <w:t>1</w:t>
                  </w: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 в якому обов’язково зазначається така інформація: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прізвище, ім’я, по батькові кандидата;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реквізити документа, що посвідчує особу та підтверджує громадянство України;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наявності відповідного ступеня вищої освіти;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рівня вільного володіння державною мовою;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відомості про стаж роботи, стаж державної служби (за наявності), досвід роботи на відповідних посадах;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заява, в якій особа повідомляє, що до неї                                   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 електронні документи, що подаються для участі у конкурсі, накладається кваліфікований електронний підпис кандидата.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Документи подаю</w:t>
                  </w: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ться до 18 год 00 хв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13 лютого</w:t>
                  </w: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2020 року, за </w:t>
                  </w:r>
                  <w:proofErr w:type="spellStart"/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адресою</w:t>
                  </w:r>
                  <w:proofErr w:type="spellEnd"/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: м. Київ,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Контрактова площа, 2</w:t>
                  </w: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  <w:p w:rsidR="00D0267F" w:rsidRPr="00A44E59" w:rsidRDefault="00D0267F" w:rsidP="00D0267F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267F" w:rsidRPr="00A44E59" w:rsidTr="008F2966">
              <w:tc>
                <w:tcPr>
                  <w:tcW w:w="3256" w:type="dxa"/>
                  <w:gridSpan w:val="2"/>
                </w:tcPr>
                <w:p w:rsidR="00D0267F" w:rsidRPr="00A44E59" w:rsidRDefault="00D0267F" w:rsidP="00D0267F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Додаткові (необов’язкові) документи</w:t>
                  </w: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Заява щодо забезпечення розумним пристосуванням                  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25.09.2019 № 844).</w:t>
                  </w:r>
                </w:p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      </w:r>
                </w:p>
                <w:p w:rsidR="00D0267F" w:rsidRPr="00A44E59" w:rsidRDefault="00D0267F" w:rsidP="00D0267F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несе персональну відповідальність за достовірність наданої інформації.</w:t>
                  </w:r>
                </w:p>
              </w:tc>
            </w:tr>
            <w:tr w:rsidR="00D0267F" w:rsidRPr="00A44E59" w:rsidTr="00DF6F7F">
              <w:tc>
                <w:tcPr>
                  <w:tcW w:w="3256" w:type="dxa"/>
                  <w:gridSpan w:val="2"/>
                </w:tcPr>
                <w:p w:rsidR="00D0267F" w:rsidRPr="00A44E59" w:rsidRDefault="00D0267F" w:rsidP="00D0267F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lastRenderedPageBreak/>
                    <w:t xml:space="preserve">Місце, час і дата початку проведення </w:t>
                  </w:r>
                  <w:r>
                    <w:rPr>
                      <w:rFonts w:eastAsiaTheme="minorHAnsi" w:cstheme="minorBidi"/>
                      <w:lang w:eastAsia="en-US"/>
                    </w:rPr>
                    <w:t>оцінювання кандидатів</w:t>
                  </w:r>
                </w:p>
              </w:tc>
              <w:tc>
                <w:tcPr>
                  <w:tcW w:w="6378" w:type="dxa"/>
                  <w:gridSpan w:val="2"/>
                </w:tcPr>
                <w:p w:rsidR="00D0267F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м. Київ,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Контрактова площа, 2,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9</w:t>
                  </w:r>
                </w:p>
                <w:p w:rsidR="00D0267F" w:rsidRPr="0011574B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 10 год 00 хв 1</w:t>
                  </w:r>
                  <w:r w:rsidR="00433EA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лютого 2020 року</w:t>
                  </w:r>
                </w:p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      </w:r>
                </w:p>
              </w:tc>
            </w:tr>
            <w:tr w:rsidR="00D0267F" w:rsidRPr="00A44E59" w:rsidTr="00DF6F7F">
              <w:tc>
                <w:tcPr>
                  <w:tcW w:w="3256" w:type="dxa"/>
                  <w:gridSpan w:val="2"/>
                </w:tcPr>
                <w:p w:rsidR="00D0267F" w:rsidRPr="00A44E59" w:rsidRDefault="00D0267F" w:rsidP="00D0267F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D0267F" w:rsidRPr="00A44E59" w:rsidRDefault="00D0267F" w:rsidP="00D0267F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Прядко Олена Юріївна,</w:t>
                  </w:r>
                </w:p>
                <w:p w:rsidR="00D0267F" w:rsidRPr="00A44E59" w:rsidRDefault="00D0267F" w:rsidP="00D0267F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контактний телефон: (044) 425 44 67</w:t>
                  </w:r>
                </w:p>
                <w:p w:rsidR="00D0267F" w:rsidRPr="001661C3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661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адреса електронної пошти:</w:t>
                  </w:r>
                </w:p>
                <w:p w:rsidR="00D0267F" w:rsidRPr="00A44E59" w:rsidRDefault="0041061E" w:rsidP="00D0267F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hyperlink r:id="rId6" w:history="1">
                    <w:r w:rsidR="00D0267F" w:rsidRPr="001661C3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vup_podilrda@kmda.gov.ua</w:t>
                    </w:r>
                  </w:hyperlink>
                </w:p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267F" w:rsidRPr="00A44E59" w:rsidTr="00DF6F7F">
              <w:tc>
                <w:tcPr>
                  <w:tcW w:w="9634" w:type="dxa"/>
                  <w:gridSpan w:val="4"/>
                </w:tcPr>
                <w:p w:rsidR="00D0267F" w:rsidRPr="008B7A00" w:rsidRDefault="00D0267F" w:rsidP="00D0267F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  <w:lang w:val="uk-UA"/>
                    </w:rPr>
                  </w:pPr>
                </w:p>
                <w:p w:rsidR="0041061E" w:rsidRPr="0041061E" w:rsidRDefault="0041061E" w:rsidP="00D0267F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D0267F" w:rsidRDefault="00D0267F" w:rsidP="00D0267F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Кваліфікаційні вимоги</w:t>
                  </w:r>
                </w:p>
                <w:p w:rsidR="0041061E" w:rsidRPr="0041061E" w:rsidRDefault="0041061E" w:rsidP="00D0267F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D0267F" w:rsidRPr="008B7A00" w:rsidRDefault="00D0267F" w:rsidP="00D0267F">
                  <w:pPr>
                    <w:jc w:val="both"/>
                    <w:rPr>
                      <w:rFonts w:ascii="Times New Roman" w:hAnsi="Times New Roman"/>
                      <w:sz w:val="4"/>
                      <w:szCs w:val="4"/>
                      <w:lang w:val="uk-UA"/>
                    </w:rPr>
                  </w:pPr>
                </w:p>
              </w:tc>
            </w:tr>
            <w:tr w:rsidR="00D0267F" w:rsidRPr="00A44E59" w:rsidTr="00805ABD">
              <w:tc>
                <w:tcPr>
                  <w:tcW w:w="846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D0267F" w:rsidRPr="00421052" w:rsidRDefault="00433EAF" w:rsidP="00433EA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B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Вища, ступеню бакалавра або молодшого бакалавра</w:t>
                  </w:r>
                  <w:r w:rsidRPr="00CD4ED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D0267F" w:rsidRPr="00A44E59" w:rsidTr="00805ABD">
              <w:tc>
                <w:tcPr>
                  <w:tcW w:w="846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  <w:vAlign w:val="bottom"/>
                </w:tcPr>
                <w:p w:rsidR="00D0267F" w:rsidRPr="00421052" w:rsidRDefault="00433EA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потребує</w:t>
                  </w:r>
                </w:p>
              </w:tc>
            </w:tr>
            <w:tr w:rsidR="00D0267F" w:rsidRPr="00A44E59" w:rsidTr="00DF6F7F">
              <w:tc>
                <w:tcPr>
                  <w:tcW w:w="846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державною мовою</w:t>
                  </w:r>
                </w:p>
                <w:p w:rsidR="00D0267F" w:rsidRPr="0041061E" w:rsidRDefault="00D0267F" w:rsidP="00D0267F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6378" w:type="dxa"/>
                  <w:gridSpan w:val="2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Вільне володіння державною мовою</w:t>
                  </w:r>
                </w:p>
              </w:tc>
            </w:tr>
            <w:tr w:rsidR="00D0267F" w:rsidRPr="00A44E59" w:rsidTr="00DF6F7F">
              <w:tc>
                <w:tcPr>
                  <w:tcW w:w="846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D0267F" w:rsidRPr="00A44E59" w:rsidRDefault="00D0267F" w:rsidP="00D0267F">
                  <w:pPr>
                    <w:spacing w:before="100" w:beforeAutospacing="1" w:after="100" w:afterAutospacing="1"/>
                    <w:ind w:firstLine="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іноземною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D0267F" w:rsidRPr="00A44E59" w:rsidRDefault="00D0267F" w:rsidP="00D0267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потребує</w:t>
                  </w:r>
                </w:p>
              </w:tc>
            </w:tr>
            <w:tr w:rsidR="00D0267F" w:rsidRPr="00A44E59" w:rsidTr="00DF6F7F">
              <w:tc>
                <w:tcPr>
                  <w:tcW w:w="9634" w:type="dxa"/>
                  <w:gridSpan w:val="4"/>
                </w:tcPr>
                <w:p w:rsidR="00D0267F" w:rsidRPr="008B7A00" w:rsidRDefault="00D0267F" w:rsidP="00D0267F">
                  <w:pPr>
                    <w:jc w:val="both"/>
                    <w:rPr>
                      <w:rFonts w:ascii="Times New Roman" w:hAnsi="Times New Roman"/>
                      <w:sz w:val="4"/>
                      <w:szCs w:val="4"/>
                      <w:lang w:val="uk-UA"/>
                    </w:rPr>
                  </w:pPr>
                </w:p>
                <w:p w:rsidR="0041061E" w:rsidRPr="0041061E" w:rsidRDefault="0041061E" w:rsidP="00D0267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D0267F" w:rsidRDefault="00D0267F" w:rsidP="00D0267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Вимоги до компетентності</w:t>
                  </w:r>
                </w:p>
                <w:p w:rsidR="0041061E" w:rsidRPr="0041061E" w:rsidRDefault="0041061E" w:rsidP="00D0267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D0267F" w:rsidRPr="008B7A00" w:rsidRDefault="00D0267F" w:rsidP="00D0267F">
                  <w:pPr>
                    <w:jc w:val="both"/>
                    <w:rPr>
                      <w:rFonts w:ascii="Times New Roman" w:hAnsi="Times New Roman"/>
                      <w:sz w:val="4"/>
                      <w:szCs w:val="4"/>
                      <w:lang w:val="uk-UA"/>
                    </w:rPr>
                  </w:pPr>
                </w:p>
              </w:tc>
            </w:tr>
            <w:tr w:rsidR="00D0267F" w:rsidRPr="00A44E59" w:rsidTr="008F55E9">
              <w:tc>
                <w:tcPr>
                  <w:tcW w:w="846" w:type="dxa"/>
                  <w:tcBorders>
                    <w:right w:val="nil"/>
                  </w:tcBorders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nil"/>
                  </w:tcBorders>
                </w:tcPr>
                <w:p w:rsidR="00D0267F" w:rsidRPr="008F55E9" w:rsidRDefault="00D0267F" w:rsidP="00D0267F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D0267F" w:rsidRPr="008F55E9" w:rsidRDefault="00D0267F" w:rsidP="00D0267F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D0267F" w:rsidRPr="00433EAF" w:rsidTr="00DF6F7F">
              <w:tc>
                <w:tcPr>
                  <w:tcW w:w="846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D0267F" w:rsidRPr="00A44E59" w:rsidRDefault="00D0267F" w:rsidP="00D0267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D0267F" w:rsidRPr="00A44E59" w:rsidRDefault="00D0267F" w:rsidP="00D0267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знання програм пакету Microsoft Office: Word, Excel, PowerPoint ( володіння навичками роботи з текстовими редакторами, табличним редактором, використання графічних об’єктів в електронних документах);                                                                            - вміння використовувати комп’ютерну техніку та програмне забезпечення, використовувати офісну техніку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</w:t>
                  </w:r>
                </w:p>
              </w:tc>
            </w:tr>
            <w:tr w:rsidR="00D0267F" w:rsidRPr="00433EAF" w:rsidTr="00DF6F7F">
              <w:tc>
                <w:tcPr>
                  <w:tcW w:w="846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D0267F" w:rsidRPr="00A44E59" w:rsidRDefault="00D0267F" w:rsidP="00D0267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D0267F" w:rsidRPr="00A44E59" w:rsidRDefault="00D0267F" w:rsidP="00D0267F">
                  <w:pPr>
                    <w:pStyle w:val="a4"/>
                    <w:ind w:left="34"/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</w:pPr>
                  <w:r w:rsidRPr="00A44E59"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</w:t>
                  </w:r>
                  <w:r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  <w:t xml:space="preserve"> приймати зміни та змінюватись.</w:t>
                  </w:r>
                </w:p>
              </w:tc>
            </w:tr>
            <w:tr w:rsidR="00D0267F" w:rsidRPr="00433EAF" w:rsidTr="00DF6F7F">
              <w:tc>
                <w:tcPr>
                  <w:tcW w:w="846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D0267F" w:rsidRPr="00A44E59" w:rsidRDefault="00D0267F" w:rsidP="00D0267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D0267F" w:rsidRPr="00A44E59" w:rsidRDefault="00D0267F" w:rsidP="008B7A00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</w:t>
                  </w:r>
                </w:p>
              </w:tc>
            </w:tr>
            <w:tr w:rsidR="00D0267F" w:rsidRPr="00A44E59" w:rsidTr="00DF6F7F">
              <w:tc>
                <w:tcPr>
                  <w:tcW w:w="9634" w:type="dxa"/>
                  <w:gridSpan w:val="4"/>
                </w:tcPr>
                <w:p w:rsidR="00D0267F" w:rsidRPr="00BB12C7" w:rsidRDefault="00D0267F" w:rsidP="00D0267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  <w:p w:rsidR="00D0267F" w:rsidRPr="00183AF2" w:rsidRDefault="00D0267F" w:rsidP="00D0267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035E" w:rsidRPr="00A44E59" w:rsidTr="00310694">
              <w:tc>
                <w:tcPr>
                  <w:tcW w:w="3397" w:type="dxa"/>
                  <w:gridSpan w:val="3"/>
                </w:tcPr>
                <w:p w:rsidR="003C035E" w:rsidRPr="00BF3928" w:rsidRDefault="003C035E" w:rsidP="003C035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BF3928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3C035E" w:rsidRPr="00BF3928" w:rsidRDefault="003C035E" w:rsidP="00D0267F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BF3928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D0267F" w:rsidRPr="00A44E59" w:rsidTr="00DF6F7F">
              <w:tc>
                <w:tcPr>
                  <w:tcW w:w="846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D0267F" w:rsidRPr="00A44E59" w:rsidRDefault="00D0267F" w:rsidP="00D0267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законодавства</w:t>
                  </w:r>
                </w:p>
                <w:p w:rsidR="00D0267F" w:rsidRPr="00A44E59" w:rsidRDefault="00D0267F" w:rsidP="00D0267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D0267F" w:rsidRPr="00A44E59" w:rsidRDefault="00D0267F" w:rsidP="00D0267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Конституція України,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Закони України: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державну службу»,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запобігання корупції»</w:t>
                  </w:r>
                </w:p>
              </w:tc>
            </w:tr>
            <w:tr w:rsidR="00D0267F" w:rsidRPr="00A44E59" w:rsidTr="00DF6F7F">
              <w:tc>
                <w:tcPr>
                  <w:tcW w:w="846" w:type="dxa"/>
                </w:tcPr>
                <w:p w:rsidR="00D0267F" w:rsidRPr="00A44E59" w:rsidRDefault="00D0267F" w:rsidP="00D0267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D0267F" w:rsidRPr="00A44E59" w:rsidRDefault="00D0267F" w:rsidP="00D0267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8B7A00" w:rsidRPr="004E1444" w:rsidRDefault="008B7A00" w:rsidP="008B7A0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Закони України:</w:t>
                  </w:r>
                </w:p>
                <w:p w:rsidR="008B7A00" w:rsidRPr="002F6A40" w:rsidRDefault="008B7A00" w:rsidP="008B7A00">
                  <w:pPr>
                    <w:pStyle w:val="a4"/>
                    <w:numPr>
                      <w:ilvl w:val="0"/>
                      <w:numId w:val="3"/>
                    </w:numPr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«</w:t>
                  </w:r>
                  <w:r w:rsidRPr="002F6A40">
                    <w:rPr>
                      <w:sz w:val="24"/>
                      <w:szCs w:val="24"/>
                      <w:lang w:val="uk-UA"/>
                    </w:rPr>
                    <w:t>Про звернення громадян</w:t>
                  </w:r>
                  <w:r>
                    <w:rPr>
                      <w:sz w:val="24"/>
                      <w:szCs w:val="24"/>
                      <w:lang w:val="uk-UA"/>
                    </w:rPr>
                    <w:t>»</w:t>
                  </w:r>
                  <w:r w:rsidRPr="002F6A40">
                    <w:rPr>
                      <w:sz w:val="24"/>
                      <w:szCs w:val="24"/>
                      <w:lang w:val="uk-UA"/>
                    </w:rPr>
                    <w:t>,</w:t>
                  </w:r>
                </w:p>
                <w:p w:rsidR="008B7A00" w:rsidRPr="004E1444" w:rsidRDefault="008B7A00" w:rsidP="008B7A0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«Про захист персональних даних»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</w:t>
                  </w:r>
                </w:p>
                <w:p w:rsidR="008B7A00" w:rsidRPr="004E1444" w:rsidRDefault="008B7A00" w:rsidP="008B7A0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«Про доступ до публічної інформації».</w:t>
                  </w:r>
                </w:p>
                <w:p w:rsidR="008B7A00" w:rsidRPr="004E1444" w:rsidRDefault="008B7A00" w:rsidP="008B7A0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Указ Президента України від 07.02.2008 № 109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 першочергові заходи щодо забезпечення реалізації та гарантування конституційного права громадян на звернення до органів державної влади та органів місцевого самоврядування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:rsidR="008B7A00" w:rsidRPr="004E1444" w:rsidRDefault="008B7A00" w:rsidP="008B7A0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«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Інструкція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затвердженою постановою Кабінету Міністрів України від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14.04.1997 № 348 (зі змінами).</w:t>
                  </w:r>
                </w:p>
                <w:p w:rsidR="008B7A00" w:rsidRDefault="008B7A00" w:rsidP="008B7A0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Методик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оцінювання рівня організації роботи зі зверненнями громадян в органах виконавчої влади, затвердженою постановою Кабінету Міністрів України від 24.06.2009 № 630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(зі змінами)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:rsidR="00D0267F" w:rsidRPr="00A44E59" w:rsidRDefault="008B7A00" w:rsidP="008B7A00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4E144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Класифікатор розгляду звернень громадян, який  затверджений постановою Кабінету Міністрів України від 24.09.2008 № 858 (із змінами).</w:t>
                  </w:r>
                </w:p>
              </w:tc>
            </w:tr>
          </w:tbl>
          <w:p w:rsidR="00535941" w:rsidRPr="00A44E59" w:rsidRDefault="00535941" w:rsidP="00A44E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n196"/>
            <w:bookmarkEnd w:id="3"/>
          </w:p>
        </w:tc>
      </w:tr>
    </w:tbl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5941" w:rsidRPr="007F697C" w:rsidSect="002E7B51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3261"/>
    <w:multiLevelType w:val="hybridMultilevel"/>
    <w:tmpl w:val="F8DCDAAE"/>
    <w:lvl w:ilvl="0" w:tplc="F146C304">
      <w:start w:val="4"/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55BB3121"/>
    <w:multiLevelType w:val="hybridMultilevel"/>
    <w:tmpl w:val="6B5C0402"/>
    <w:lvl w:ilvl="0" w:tplc="08E0CE0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677"/>
    <w:rsid w:val="000224E5"/>
    <w:rsid w:val="00041646"/>
    <w:rsid w:val="00063D3F"/>
    <w:rsid w:val="000968C7"/>
    <w:rsid w:val="000A3DBC"/>
    <w:rsid w:val="000B06ED"/>
    <w:rsid w:val="000B0F7A"/>
    <w:rsid w:val="000B32F1"/>
    <w:rsid w:val="00123BF4"/>
    <w:rsid w:val="0016482B"/>
    <w:rsid w:val="001661C3"/>
    <w:rsid w:val="00174D9B"/>
    <w:rsid w:val="00183AF2"/>
    <w:rsid w:val="00197EBD"/>
    <w:rsid w:val="001A2113"/>
    <w:rsid w:val="001A3A17"/>
    <w:rsid w:val="001B20F8"/>
    <w:rsid w:val="001D0736"/>
    <w:rsid w:val="002130E0"/>
    <w:rsid w:val="00234F1A"/>
    <w:rsid w:val="002D5B85"/>
    <w:rsid w:val="002D77F2"/>
    <w:rsid w:val="002E0550"/>
    <w:rsid w:val="002E7B51"/>
    <w:rsid w:val="003075ED"/>
    <w:rsid w:val="0031316C"/>
    <w:rsid w:val="00325B47"/>
    <w:rsid w:val="0033552B"/>
    <w:rsid w:val="003401B6"/>
    <w:rsid w:val="00340890"/>
    <w:rsid w:val="003A04BD"/>
    <w:rsid w:val="003A1677"/>
    <w:rsid w:val="003C035E"/>
    <w:rsid w:val="003F2FEC"/>
    <w:rsid w:val="003F6090"/>
    <w:rsid w:val="0041061E"/>
    <w:rsid w:val="00421052"/>
    <w:rsid w:val="00426518"/>
    <w:rsid w:val="00430AA3"/>
    <w:rsid w:val="00433EAF"/>
    <w:rsid w:val="00441364"/>
    <w:rsid w:val="00451A8C"/>
    <w:rsid w:val="0046474C"/>
    <w:rsid w:val="004805DA"/>
    <w:rsid w:val="004D4A69"/>
    <w:rsid w:val="00526FBE"/>
    <w:rsid w:val="00534170"/>
    <w:rsid w:val="00535941"/>
    <w:rsid w:val="0059177B"/>
    <w:rsid w:val="0059721E"/>
    <w:rsid w:val="005A7336"/>
    <w:rsid w:val="005B164E"/>
    <w:rsid w:val="005D04F5"/>
    <w:rsid w:val="005E33B7"/>
    <w:rsid w:val="005F7DEF"/>
    <w:rsid w:val="00664844"/>
    <w:rsid w:val="006672B8"/>
    <w:rsid w:val="00677B1B"/>
    <w:rsid w:val="00684446"/>
    <w:rsid w:val="006B0FDE"/>
    <w:rsid w:val="00703F7A"/>
    <w:rsid w:val="00753336"/>
    <w:rsid w:val="00790AA5"/>
    <w:rsid w:val="007A75D2"/>
    <w:rsid w:val="007D10DD"/>
    <w:rsid w:val="007E389E"/>
    <w:rsid w:val="007F23D7"/>
    <w:rsid w:val="00815832"/>
    <w:rsid w:val="00831BFA"/>
    <w:rsid w:val="00871B06"/>
    <w:rsid w:val="00887058"/>
    <w:rsid w:val="008874F5"/>
    <w:rsid w:val="008B60F3"/>
    <w:rsid w:val="008B7A00"/>
    <w:rsid w:val="008E6FED"/>
    <w:rsid w:val="008F4077"/>
    <w:rsid w:val="008F55E9"/>
    <w:rsid w:val="008F73A4"/>
    <w:rsid w:val="00972C99"/>
    <w:rsid w:val="00A31449"/>
    <w:rsid w:val="00A42694"/>
    <w:rsid w:val="00A44E59"/>
    <w:rsid w:val="00A47708"/>
    <w:rsid w:val="00A75D52"/>
    <w:rsid w:val="00A86FD6"/>
    <w:rsid w:val="00A93546"/>
    <w:rsid w:val="00B242C4"/>
    <w:rsid w:val="00B34480"/>
    <w:rsid w:val="00B42740"/>
    <w:rsid w:val="00B53B0A"/>
    <w:rsid w:val="00B6340D"/>
    <w:rsid w:val="00B63B38"/>
    <w:rsid w:val="00B7264B"/>
    <w:rsid w:val="00B94237"/>
    <w:rsid w:val="00B94DCF"/>
    <w:rsid w:val="00B96CA7"/>
    <w:rsid w:val="00BB0CA2"/>
    <w:rsid w:val="00BB12C7"/>
    <w:rsid w:val="00BB49FE"/>
    <w:rsid w:val="00BE7712"/>
    <w:rsid w:val="00BF3928"/>
    <w:rsid w:val="00C049EA"/>
    <w:rsid w:val="00C32EFD"/>
    <w:rsid w:val="00C51D5F"/>
    <w:rsid w:val="00C84D7A"/>
    <w:rsid w:val="00CA69AD"/>
    <w:rsid w:val="00CB18CA"/>
    <w:rsid w:val="00CF385C"/>
    <w:rsid w:val="00D0267F"/>
    <w:rsid w:val="00D2741C"/>
    <w:rsid w:val="00D52EAA"/>
    <w:rsid w:val="00D604ED"/>
    <w:rsid w:val="00D71213"/>
    <w:rsid w:val="00D9685F"/>
    <w:rsid w:val="00DA4FA8"/>
    <w:rsid w:val="00DB1583"/>
    <w:rsid w:val="00DB3924"/>
    <w:rsid w:val="00DC5019"/>
    <w:rsid w:val="00DD577B"/>
    <w:rsid w:val="00DF04C3"/>
    <w:rsid w:val="00E277EB"/>
    <w:rsid w:val="00E41A37"/>
    <w:rsid w:val="00E47F4D"/>
    <w:rsid w:val="00E96E43"/>
    <w:rsid w:val="00EA17BC"/>
    <w:rsid w:val="00EB2827"/>
    <w:rsid w:val="00EC6941"/>
    <w:rsid w:val="00ED2B2F"/>
    <w:rsid w:val="00EE7985"/>
    <w:rsid w:val="00F64AD1"/>
    <w:rsid w:val="00F979F6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1473"/>
  <w15:docId w15:val="{FD9A001A-BCA0-4CC8-98D9-6372CBB4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ubtle Emphasis"/>
    <w:basedOn w:val="a0"/>
    <w:uiPriority w:val="19"/>
    <w:qFormat/>
    <w:rsid w:val="008874F5"/>
    <w:rPr>
      <w:i/>
      <w:iCs/>
      <w:color w:val="808080" w:themeColor="text1" w:themeTint="7F"/>
    </w:rPr>
  </w:style>
  <w:style w:type="paragraph" w:customStyle="1" w:styleId="rvps14">
    <w:name w:val="rvps14"/>
    <w:basedOn w:val="a"/>
    <w:rsid w:val="005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535941"/>
    <w:rPr>
      <w:color w:val="0000FF" w:themeColor="hyperlink"/>
      <w:u w:val="single"/>
    </w:rPr>
  </w:style>
  <w:style w:type="character" w:styleId="ac">
    <w:name w:val="Strong"/>
    <w:qFormat/>
    <w:rsid w:val="008F4077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0267F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D0267F"/>
    <w:rPr>
      <w:rFonts w:ascii="Times New Roman" w:hAnsi="Times New Roman" w:cs="Times New Roman"/>
      <w:sz w:val="24"/>
      <w:szCs w:val="24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BB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B49F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9278F-D39F-40AC-842C-2936066C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Прядко Олена Юріївна</cp:lastModifiedBy>
  <cp:revision>106</cp:revision>
  <cp:lastPrinted>2020-01-21T07:52:00Z</cp:lastPrinted>
  <dcterms:created xsi:type="dcterms:W3CDTF">2018-09-10T09:24:00Z</dcterms:created>
  <dcterms:modified xsi:type="dcterms:W3CDTF">2020-01-21T12:28:00Z</dcterms:modified>
</cp:coreProperties>
</file>