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EF" w:rsidRPr="00E316A8" w:rsidRDefault="009C30EF" w:rsidP="009C30EF">
      <w:pPr>
        <w:spacing w:after="45"/>
        <w:jc w:val="center"/>
        <w:rPr>
          <w:color w:val="000000" w:themeColor="text1"/>
          <w:sz w:val="28"/>
          <w:szCs w:val="28"/>
        </w:rPr>
      </w:pPr>
      <w:bookmarkStart w:id="0" w:name="_GoBack"/>
      <w:r w:rsidRPr="00E316A8">
        <w:rPr>
          <w:b/>
          <w:bCs/>
          <w:color w:val="000000" w:themeColor="text1"/>
          <w:sz w:val="28"/>
          <w:szCs w:val="28"/>
        </w:rPr>
        <w:t xml:space="preserve">Порядок забезпечення </w:t>
      </w:r>
      <w:proofErr w:type="spellStart"/>
      <w:r w:rsidRPr="00E316A8">
        <w:rPr>
          <w:b/>
          <w:bCs/>
          <w:color w:val="000000" w:themeColor="text1"/>
          <w:sz w:val="28"/>
          <w:szCs w:val="28"/>
        </w:rPr>
        <w:t>дітей</w:t>
      </w:r>
      <w:proofErr w:type="spellEnd"/>
      <w:r w:rsidRPr="00E316A8">
        <w:rPr>
          <w:b/>
          <w:bCs/>
          <w:color w:val="000000" w:themeColor="text1"/>
          <w:sz w:val="28"/>
          <w:szCs w:val="28"/>
        </w:rPr>
        <w:t xml:space="preserve"> з </w:t>
      </w:r>
      <w:proofErr w:type="spellStart"/>
      <w:proofErr w:type="gramStart"/>
      <w:r w:rsidRPr="00E316A8">
        <w:rPr>
          <w:b/>
          <w:bCs/>
          <w:color w:val="000000" w:themeColor="text1"/>
          <w:sz w:val="28"/>
          <w:szCs w:val="28"/>
        </w:rPr>
        <w:t>інвалідністю</w:t>
      </w:r>
      <w:proofErr w:type="spellEnd"/>
      <w:r w:rsidRPr="00E316A8">
        <w:rPr>
          <w:b/>
          <w:bCs/>
          <w:color w:val="000000" w:themeColor="text1"/>
          <w:sz w:val="28"/>
          <w:szCs w:val="28"/>
        </w:rPr>
        <w:t>  </w:t>
      </w:r>
      <w:proofErr w:type="spellStart"/>
      <w:r w:rsidRPr="00E316A8">
        <w:rPr>
          <w:b/>
          <w:bCs/>
          <w:color w:val="000000" w:themeColor="text1"/>
          <w:sz w:val="28"/>
          <w:szCs w:val="28"/>
        </w:rPr>
        <w:t>реабілітаційними</w:t>
      </w:r>
      <w:proofErr w:type="spellEnd"/>
      <w:proofErr w:type="gramEnd"/>
      <w:r w:rsidRPr="00E316A8">
        <w:rPr>
          <w:b/>
          <w:bCs/>
          <w:color w:val="000000" w:themeColor="text1"/>
          <w:sz w:val="28"/>
          <w:szCs w:val="28"/>
        </w:rPr>
        <w:t xml:space="preserve"> заходами</w:t>
      </w:r>
      <w:bookmarkEnd w:id="0"/>
    </w:p>
    <w:p w:rsidR="009C30EF" w:rsidRPr="00E316A8" w:rsidRDefault="009C30EF" w:rsidP="009C30EF">
      <w:pPr>
        <w:spacing w:after="45"/>
        <w:jc w:val="both"/>
        <w:rPr>
          <w:color w:val="000000" w:themeColor="text1"/>
          <w:sz w:val="12"/>
          <w:szCs w:val="12"/>
        </w:rPr>
      </w:pPr>
      <w:r w:rsidRPr="00E316A8">
        <w:rPr>
          <w:color w:val="000000" w:themeColor="text1"/>
          <w:sz w:val="12"/>
          <w:szCs w:val="12"/>
        </w:rPr>
        <w:t> </w:t>
      </w:r>
    </w:p>
    <w:p w:rsidR="009C30EF" w:rsidRPr="00E316A8" w:rsidRDefault="009C30EF" w:rsidP="009C30EF">
      <w:pPr>
        <w:spacing w:after="45"/>
        <w:ind w:firstLine="709"/>
        <w:jc w:val="both"/>
        <w:rPr>
          <w:color w:val="000000" w:themeColor="text1"/>
          <w:sz w:val="12"/>
          <w:szCs w:val="12"/>
        </w:rPr>
      </w:pPr>
      <w:r w:rsidRPr="00E316A8">
        <w:rPr>
          <w:b/>
          <w:bCs/>
          <w:color w:val="000000" w:themeColor="text1"/>
          <w:sz w:val="27"/>
          <w:lang w:val="uk-UA"/>
        </w:rPr>
        <w:t>1. Звернення для забезпечення дитини реабілітаційними заходами</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Для забезпечення дитини реабілітаційними заходами один із батьків дитини чи її законний представник подає до місцевого органу заяву про направлення дитини до реабілітаційної установи у довільній формі із зазначенням інформації про вибрану реабілітаційну установу разом з копіями:</w:t>
      </w:r>
    </w:p>
    <w:p w:rsidR="009C30EF" w:rsidRPr="00E316A8" w:rsidRDefault="009C30EF" w:rsidP="009C30EF">
      <w:pPr>
        <w:spacing w:after="30"/>
        <w:ind w:firstLine="709"/>
        <w:jc w:val="both"/>
        <w:rPr>
          <w:color w:val="000000" w:themeColor="text1"/>
          <w:sz w:val="12"/>
          <w:szCs w:val="12"/>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паспорта громадянина України та/або свідоцтва про народження, та/або іншого документа, що посвідчує особу дитини;</w:t>
      </w:r>
    </w:p>
    <w:p w:rsidR="009C30EF" w:rsidRPr="00E316A8" w:rsidRDefault="009C30EF" w:rsidP="009C30EF">
      <w:pPr>
        <w:spacing w:after="30"/>
        <w:ind w:firstLine="709"/>
        <w:jc w:val="both"/>
        <w:rPr>
          <w:color w:val="000000" w:themeColor="text1"/>
          <w:sz w:val="12"/>
          <w:szCs w:val="12"/>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індивідуальної програми реабілітації, що видана лікарсько-консультативною комісією лікувально-профілактичного закладу;</w:t>
      </w:r>
    </w:p>
    <w:p w:rsidR="009C30EF" w:rsidRPr="00E316A8" w:rsidRDefault="009C30EF" w:rsidP="009C30EF">
      <w:pPr>
        <w:spacing w:after="30"/>
        <w:ind w:firstLine="709"/>
        <w:jc w:val="both"/>
        <w:rPr>
          <w:color w:val="000000" w:themeColor="text1"/>
          <w:sz w:val="12"/>
          <w:szCs w:val="12"/>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виписки з медичної карти амбулаторного (стаціонарного) хворого (</w:t>
      </w:r>
      <w:hyperlink r:id="rId4" w:anchor="n3" w:tgtFrame="_blank" w:history="1">
        <w:r w:rsidRPr="00E316A8">
          <w:rPr>
            <w:color w:val="000000" w:themeColor="text1"/>
            <w:sz w:val="27"/>
            <w:u w:val="single"/>
            <w:lang w:val="uk-UA"/>
          </w:rPr>
          <w:t>форма № 027/о </w:t>
        </w:r>
      </w:hyperlink>
      <w:r w:rsidRPr="00E316A8">
        <w:rPr>
          <w:color w:val="000000" w:themeColor="text1"/>
          <w:sz w:val="27"/>
          <w:szCs w:val="27"/>
          <w:lang w:val="uk-UA"/>
        </w:rPr>
        <w:t>).</w:t>
      </w:r>
    </w:p>
    <w:p w:rsidR="009C30EF" w:rsidRPr="00E316A8" w:rsidRDefault="009C30EF" w:rsidP="009C30EF">
      <w:pPr>
        <w:spacing w:after="100"/>
        <w:ind w:firstLine="709"/>
        <w:jc w:val="both"/>
        <w:rPr>
          <w:color w:val="000000" w:themeColor="text1"/>
          <w:sz w:val="12"/>
          <w:szCs w:val="12"/>
        </w:rPr>
      </w:pPr>
      <w:r w:rsidRPr="00E316A8">
        <w:rPr>
          <w:b/>
          <w:bCs/>
          <w:color w:val="000000" w:themeColor="text1"/>
          <w:sz w:val="27"/>
          <w:lang w:val="uk-UA"/>
        </w:rPr>
        <w:t>Місцевий орган:</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1) перевіряє наявність документів, поданих відповідно до Порядку;</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2) забезпечує ведення обліку дітей, які в порядку черговості направляються на здійснення реабілітаційних заходів;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3) ознайомлює одного з батьків дитини чи її законного представника з переліком реабілітаційних установ, до яких такі особи можуть звернутися з питань забезпечення дитини реабілітаційними заходами;</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4) вносить до централізованого банку даних з проблем інвалідності  відомості про:</w:t>
      </w:r>
    </w:p>
    <w:p w:rsidR="009C30EF" w:rsidRPr="00E316A8" w:rsidRDefault="009C30EF" w:rsidP="009C30EF">
      <w:pPr>
        <w:spacing w:after="30"/>
        <w:ind w:firstLine="709"/>
        <w:jc w:val="both"/>
        <w:rPr>
          <w:color w:val="000000" w:themeColor="text1"/>
          <w:sz w:val="12"/>
          <w:szCs w:val="12"/>
          <w:lang w:val="uk-UA"/>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дитину, її законного представника відповідно до пункту 4 Положення про централізований банк даних з проблем інвалідності, затвердженого постановою Кабінету Міністрів України від 16 лютого 2011 р. № 121 ;</w:t>
      </w:r>
    </w:p>
    <w:p w:rsidR="009C30EF" w:rsidRPr="00E316A8" w:rsidRDefault="009C30EF" w:rsidP="009C30EF">
      <w:pPr>
        <w:spacing w:after="30"/>
        <w:ind w:firstLine="709"/>
        <w:jc w:val="both"/>
        <w:rPr>
          <w:color w:val="000000" w:themeColor="text1"/>
          <w:sz w:val="12"/>
          <w:szCs w:val="12"/>
          <w:lang w:val="uk-UA"/>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забезпечення дитини реабілітаційними заходами, у тому числі про вибір законним представником дитини реабілітаційної установи, укладення договорів, складення актів виконаних робіт із зазначенням фактично перерахованих коштів, строків перебування дитини в реабілітаційній установі.</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Днем звернення одного з батьків дитини чи її законного представника до місцевого органу вважається дата надходження документів, зазначених у Порядку, що реєструються в журналі реєстрації документів.</w:t>
      </w:r>
    </w:p>
    <w:p w:rsidR="009C30EF" w:rsidRPr="00E316A8" w:rsidRDefault="009C30EF" w:rsidP="009C30EF">
      <w:pPr>
        <w:spacing w:after="45"/>
        <w:ind w:firstLine="709"/>
        <w:jc w:val="both"/>
        <w:rPr>
          <w:color w:val="000000" w:themeColor="text1"/>
          <w:sz w:val="12"/>
          <w:szCs w:val="12"/>
          <w:lang w:val="uk-UA"/>
        </w:rPr>
      </w:pPr>
      <w:r w:rsidRPr="00E316A8">
        <w:rPr>
          <w:color w:val="000000" w:themeColor="text1"/>
          <w:sz w:val="27"/>
          <w:szCs w:val="27"/>
          <w:lang w:val="uk-UA"/>
        </w:rPr>
        <w:t xml:space="preserve">Перелік реабілітаційних установ формується Фондом згідно із </w:t>
      </w:r>
      <w:proofErr w:type="spellStart"/>
      <w:r w:rsidRPr="00E316A8">
        <w:rPr>
          <w:color w:val="000000" w:themeColor="text1"/>
          <w:sz w:val="27"/>
          <w:szCs w:val="27"/>
          <w:lang w:val="uk-UA"/>
        </w:rPr>
        <w:t>заявницьким</w:t>
      </w:r>
      <w:proofErr w:type="spellEnd"/>
      <w:r w:rsidRPr="00E316A8">
        <w:rPr>
          <w:color w:val="000000" w:themeColor="text1"/>
          <w:sz w:val="27"/>
          <w:szCs w:val="27"/>
          <w:lang w:val="uk-UA"/>
        </w:rPr>
        <w:t xml:space="preserve"> принципом реабілітаційної установи. Перелік реабілітаційних установ оприлюднюється на офіційних веб-сайтах </w:t>
      </w:r>
      <w:proofErr w:type="spellStart"/>
      <w:r w:rsidRPr="00E316A8">
        <w:rPr>
          <w:color w:val="000000" w:themeColor="text1"/>
          <w:sz w:val="27"/>
          <w:szCs w:val="27"/>
          <w:lang w:val="uk-UA"/>
        </w:rPr>
        <w:t>Мінсоцполітики</w:t>
      </w:r>
      <w:proofErr w:type="spellEnd"/>
      <w:r w:rsidRPr="00E316A8">
        <w:rPr>
          <w:color w:val="000000" w:themeColor="text1"/>
          <w:sz w:val="27"/>
          <w:szCs w:val="27"/>
          <w:lang w:val="uk-UA"/>
        </w:rPr>
        <w:t>, Фонду, місцевих та регіональних органів.</w:t>
      </w:r>
    </w:p>
    <w:p w:rsidR="009C30EF" w:rsidRPr="00E316A8" w:rsidRDefault="009C30EF" w:rsidP="009C30EF">
      <w:pPr>
        <w:spacing w:after="30"/>
        <w:rPr>
          <w:rFonts w:ascii="Verdana" w:hAnsi="Verdana"/>
          <w:color w:val="000000" w:themeColor="text1"/>
          <w:sz w:val="12"/>
          <w:szCs w:val="12"/>
          <w:lang w:val="uk-UA"/>
        </w:rPr>
      </w:pPr>
      <w:r w:rsidRPr="00E316A8">
        <w:rPr>
          <w:rFonts w:ascii="Verdana" w:hAnsi="Verdana"/>
          <w:color w:val="000000" w:themeColor="text1"/>
          <w:sz w:val="12"/>
          <w:szCs w:val="12"/>
        </w:rPr>
        <w:t> </w:t>
      </w:r>
    </w:p>
    <w:p w:rsidR="009C30EF" w:rsidRPr="00E316A8" w:rsidRDefault="009C30EF" w:rsidP="009C30EF">
      <w:pPr>
        <w:spacing w:after="45"/>
        <w:ind w:firstLine="709"/>
        <w:jc w:val="both"/>
        <w:rPr>
          <w:color w:val="000000" w:themeColor="text1"/>
          <w:sz w:val="12"/>
          <w:szCs w:val="12"/>
        </w:rPr>
      </w:pPr>
      <w:r w:rsidRPr="00E316A8">
        <w:rPr>
          <w:b/>
          <w:bCs/>
          <w:color w:val="000000" w:themeColor="text1"/>
          <w:sz w:val="27"/>
          <w:lang w:val="uk-UA"/>
        </w:rPr>
        <w:t xml:space="preserve">2. Укладання договору, оформлення </w:t>
      </w:r>
      <w:proofErr w:type="spellStart"/>
      <w:r w:rsidRPr="00E316A8">
        <w:rPr>
          <w:b/>
          <w:bCs/>
          <w:color w:val="000000" w:themeColor="text1"/>
          <w:sz w:val="27"/>
          <w:lang w:val="uk-UA"/>
        </w:rPr>
        <w:t>акта</w:t>
      </w:r>
      <w:proofErr w:type="spellEnd"/>
      <w:r w:rsidRPr="00E316A8">
        <w:rPr>
          <w:b/>
          <w:bCs/>
          <w:color w:val="000000" w:themeColor="text1"/>
          <w:sz w:val="27"/>
          <w:lang w:val="uk-UA"/>
        </w:rPr>
        <w:t xml:space="preserve"> наданих послуг, відшкодування вартості реабілітаційних заходів для дітей</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Місцевий орган протягом п’яти робочих днів з дати подання заяви укладає договір про здійснення для дитини реабілітаційних заходів (далі - договір) у трьох примірниках (один - для місцевого органу, другий - для реабілітаційної установи, третій — для одного з батьків дитини чи її законного представника), в якому зазначаються строки здійснення реабілітаційних заходів у реабілітаційній установі, їх вартість тощо.</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 xml:space="preserve">У разі отримання від реабілітаційної установи, вибраної одним із батьків дитини чи її законним представником, обґрунтованої відмови від здійснення </w:t>
      </w:r>
      <w:r w:rsidRPr="00E316A8">
        <w:rPr>
          <w:color w:val="000000" w:themeColor="text1"/>
          <w:sz w:val="27"/>
          <w:szCs w:val="27"/>
          <w:lang w:val="uk-UA"/>
        </w:rPr>
        <w:lastRenderedPageBreak/>
        <w:t>реабілітаційних заходів у такій реабілітаційній установі місцевий орган інформує про це одного з батьків дитини чи її законного представника та пропонує вибрати іншу реабілітаційну установу.</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Усі примірники договору, підписані уповноваженою особою місцевого органу скріплені печаткою (за наявності) та одним із батьків дитини або її законним представником передаються реабілітаційній установі.</w:t>
      </w:r>
    </w:p>
    <w:p w:rsidR="009C30EF" w:rsidRPr="00E316A8" w:rsidRDefault="009C30EF" w:rsidP="009C30EF">
      <w:pPr>
        <w:spacing w:after="45"/>
        <w:ind w:firstLine="709"/>
        <w:jc w:val="both"/>
        <w:rPr>
          <w:color w:val="000000" w:themeColor="text1"/>
          <w:sz w:val="12"/>
          <w:szCs w:val="12"/>
          <w:lang w:val="uk-UA"/>
        </w:rPr>
      </w:pPr>
      <w:r w:rsidRPr="00E316A8">
        <w:rPr>
          <w:color w:val="000000" w:themeColor="text1"/>
          <w:sz w:val="27"/>
          <w:szCs w:val="27"/>
          <w:lang w:val="uk-UA"/>
        </w:rPr>
        <w:t>Керівник реабілітаційної установи підписує і скріплює печаткою (за наявності) всі примірники договору, після чого передає один примірник місцевому органові, другий - одному з батьків дитини або її законному представникові, третій примірник залишає на зберіганні у реабілітаційній установі.</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Підписання договору можливе з використанням електронного цифрового підпису.</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Відшкодування вартості реабілітаційних заходів для дітей здійснюється місцевими органами в межах бюджетних коштів шляхом їх безготівкового перерахування реабілітаційним установам як оплати за надані послуги відповідно до укладених договорів на підставі актів наданих послуг у розмірі, що не перевищує встановлену граничну вартість реабілітаційних заходів, а якщо вартість таких  заходів є меншою від граничної,  у розмірі, що не перевищує фактичну вартість реабілітаційних заходів.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Попередня оплата здійснюється відповідно до законодавства.</w:t>
      </w:r>
    </w:p>
    <w:p w:rsidR="009C30EF" w:rsidRPr="00E316A8" w:rsidRDefault="009C30EF" w:rsidP="009C30EF">
      <w:pPr>
        <w:spacing w:after="45"/>
        <w:ind w:firstLine="709"/>
        <w:jc w:val="both"/>
        <w:rPr>
          <w:color w:val="000000" w:themeColor="text1"/>
          <w:sz w:val="12"/>
          <w:szCs w:val="12"/>
          <w:lang w:val="uk-UA"/>
        </w:rPr>
      </w:pPr>
      <w:r w:rsidRPr="00E316A8">
        <w:rPr>
          <w:color w:val="000000" w:themeColor="text1"/>
          <w:sz w:val="27"/>
          <w:szCs w:val="27"/>
          <w:lang w:val="uk-UA"/>
        </w:rPr>
        <w:t>Реабілітаційна установа після здійснення для дитини реабілітаційних заходів подає місцевому органові акт наданих послуг і документ щодо проведення розрахунків за результатами надання реабілітаційних заходів згідно з умовами договору. Реабілітаційна установа також видає у довільній формі одному з батьків дитини чи її законному представникові довідку про здійснені реабілітаційні заходи та результати реабілітації.</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 xml:space="preserve">Оформлення </w:t>
      </w:r>
      <w:proofErr w:type="spellStart"/>
      <w:r w:rsidRPr="00E316A8">
        <w:rPr>
          <w:color w:val="000000" w:themeColor="text1"/>
          <w:sz w:val="27"/>
          <w:szCs w:val="27"/>
          <w:lang w:val="uk-UA"/>
        </w:rPr>
        <w:t>акта</w:t>
      </w:r>
      <w:proofErr w:type="spellEnd"/>
      <w:r w:rsidRPr="00E316A8">
        <w:rPr>
          <w:color w:val="000000" w:themeColor="text1"/>
          <w:sz w:val="27"/>
          <w:szCs w:val="27"/>
          <w:lang w:val="uk-UA"/>
        </w:rPr>
        <w:t xml:space="preserve"> наданих послуг можливе з використанням електронного цифрового підпису.</w:t>
      </w:r>
    </w:p>
    <w:p w:rsidR="009C30EF" w:rsidRPr="00E316A8" w:rsidRDefault="009C30EF" w:rsidP="009C30EF">
      <w:pPr>
        <w:spacing w:after="45"/>
        <w:ind w:firstLine="709"/>
        <w:jc w:val="both"/>
        <w:rPr>
          <w:color w:val="000000" w:themeColor="text1"/>
          <w:sz w:val="12"/>
          <w:szCs w:val="12"/>
          <w:lang w:val="uk-UA"/>
        </w:rPr>
      </w:pPr>
      <w:r w:rsidRPr="00E316A8">
        <w:rPr>
          <w:color w:val="000000" w:themeColor="text1"/>
          <w:sz w:val="27"/>
          <w:szCs w:val="27"/>
          <w:lang w:val="uk-UA"/>
        </w:rPr>
        <w:t>Місцеві органи щомісяця до 10 числа подають регіональним органам дані щодо кількості дітей, забезпечених реабілітаційними заходами, із зазначенням переліку заходів, здійснених кожній дитині, їх вартості та реабілітаційних установ, які здійснювали відповідні реабілітаційні заходи. Регіональні органи щомісяця до 15 числа подають узагальнені дані Фонду.</w:t>
      </w:r>
    </w:p>
    <w:p w:rsidR="009C30EF" w:rsidRPr="00E316A8" w:rsidRDefault="009C30EF" w:rsidP="009C30EF">
      <w:pPr>
        <w:spacing w:after="45"/>
        <w:ind w:firstLine="709"/>
        <w:jc w:val="both"/>
        <w:rPr>
          <w:color w:val="000000" w:themeColor="text1"/>
          <w:sz w:val="12"/>
          <w:szCs w:val="12"/>
          <w:lang w:val="uk-UA"/>
        </w:rPr>
      </w:pPr>
      <w:r w:rsidRPr="00E316A8">
        <w:rPr>
          <w:color w:val="000000" w:themeColor="text1"/>
          <w:sz w:val="27"/>
          <w:szCs w:val="27"/>
          <w:lang w:val="uk-UA"/>
        </w:rPr>
        <w:t xml:space="preserve">Фонд подає </w:t>
      </w:r>
      <w:proofErr w:type="spellStart"/>
      <w:r w:rsidRPr="00E316A8">
        <w:rPr>
          <w:color w:val="000000" w:themeColor="text1"/>
          <w:sz w:val="27"/>
          <w:szCs w:val="27"/>
          <w:lang w:val="uk-UA"/>
        </w:rPr>
        <w:t>Мінсоцполітики</w:t>
      </w:r>
      <w:proofErr w:type="spellEnd"/>
      <w:r w:rsidRPr="00E316A8">
        <w:rPr>
          <w:color w:val="000000" w:themeColor="text1"/>
          <w:sz w:val="27"/>
          <w:szCs w:val="27"/>
          <w:lang w:val="uk-UA"/>
        </w:rPr>
        <w:t xml:space="preserve"> щокварталу до 20 числа місяця, що настає за звітним періодом, зведений звіт про використання бюджетних коштів.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Бухгалтерський облік, відкриття рахунків, реєстрація, облік бюджетних зобов’язань в органах Казначейства, операції, пов’язані з використанням бюджетних коштів, здійснюються в установленому законодавством порядку.</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9C30EF" w:rsidRPr="00E316A8" w:rsidRDefault="009C30EF" w:rsidP="009C30EF">
      <w:pPr>
        <w:spacing w:after="30"/>
        <w:rPr>
          <w:rFonts w:ascii="Verdana" w:hAnsi="Verdana"/>
          <w:color w:val="000000" w:themeColor="text1"/>
          <w:sz w:val="12"/>
          <w:szCs w:val="12"/>
        </w:rPr>
      </w:pPr>
      <w:r w:rsidRPr="00E316A8">
        <w:rPr>
          <w:rFonts w:ascii="Verdana" w:hAnsi="Verdana"/>
          <w:color w:val="000000" w:themeColor="text1"/>
          <w:sz w:val="12"/>
          <w:szCs w:val="12"/>
        </w:rPr>
        <w:t> </w:t>
      </w:r>
    </w:p>
    <w:p w:rsidR="009C30EF" w:rsidRPr="00E316A8" w:rsidRDefault="009C30EF" w:rsidP="009C30EF">
      <w:pPr>
        <w:spacing w:after="45"/>
        <w:jc w:val="both"/>
        <w:rPr>
          <w:color w:val="000000" w:themeColor="text1"/>
          <w:sz w:val="12"/>
          <w:szCs w:val="12"/>
        </w:rPr>
      </w:pPr>
      <w:r w:rsidRPr="00E316A8">
        <w:rPr>
          <w:b/>
          <w:bCs/>
          <w:color w:val="000000" w:themeColor="text1"/>
          <w:sz w:val="27"/>
        </w:rPr>
        <w:t>              </w:t>
      </w:r>
      <w:r w:rsidRPr="00E316A8">
        <w:rPr>
          <w:b/>
          <w:bCs/>
          <w:color w:val="000000" w:themeColor="text1"/>
          <w:sz w:val="27"/>
          <w:lang w:val="uk-UA"/>
        </w:rPr>
        <w:t>3.Вартість реабілітаційних заходів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Вартість реабілітаційних заходів для кожної дитини визначається реабілітаційною установою відповідно до індивідуальної програми реабілітації, в якій зазначаються обсяг і строки проведення таких заходів.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lastRenderedPageBreak/>
        <w:t>Гранична вартість реабілітаційних заходів не перевищує для однієї дитини, яка відповідно до індивідуальної програми реабілітації за більшістю основних категорій життєдіяльності має обмеження I та II ступеня - 16 тис. гривень, III ступеня - 25 тис. гривень.</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Гранична вартість реабілітаційних заходів для однієї дитини-сироти та дитини, позбавленої батьківського піклування, яка відповідно до індивідуальної програми реабілітації за більшістю основних категорій життєдіяльності має обмеження I, II, III ступеня, збільшується на 50 відсотків для кожного ступеня.</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Реабілітаційні заходи можуть надаватися як у стаціонарі, так і амбулаторно.</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Вартість витрат реабілітаційної установи за здійснені для дитини реабілітаційні заходи становить не менше 30 відсотків граничної вартості реабілітаційних заходів для однієї дитини.</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Під час здійснення реабілітаційних заходів у стаціонарі їх гранична вартість може включати вартість проживання та харчування дитини, одного з батьків дитини чи її законного представника.</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Під час здійснення реабілітаційних заходів амбулаторно у граничну вартість можуть включатися витрати на харчування дитини, одного з батьків дитини чи її законного представника.</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Реабілітаційні заходи в межах їх граничної вартості можуть бути надані одній дитині декілька разів протягом бюджетного року.</w:t>
      </w:r>
    </w:p>
    <w:p w:rsidR="009C30EF" w:rsidRPr="00E316A8" w:rsidRDefault="009C30EF" w:rsidP="009C30EF">
      <w:pPr>
        <w:spacing w:after="30"/>
        <w:rPr>
          <w:rFonts w:ascii="Verdana" w:hAnsi="Verdana"/>
          <w:color w:val="000000" w:themeColor="text1"/>
          <w:sz w:val="12"/>
          <w:szCs w:val="12"/>
        </w:rPr>
      </w:pPr>
      <w:r w:rsidRPr="00E316A8">
        <w:rPr>
          <w:rFonts w:ascii="Verdana" w:hAnsi="Verdana"/>
          <w:color w:val="000000" w:themeColor="text1"/>
          <w:sz w:val="12"/>
          <w:szCs w:val="12"/>
        </w:rPr>
        <w:t> </w:t>
      </w:r>
    </w:p>
    <w:p w:rsidR="009C30EF" w:rsidRPr="00E316A8" w:rsidRDefault="009C30EF" w:rsidP="009C30EF">
      <w:pPr>
        <w:spacing w:after="45"/>
        <w:ind w:firstLine="709"/>
        <w:jc w:val="both"/>
        <w:rPr>
          <w:color w:val="000000" w:themeColor="text1"/>
          <w:sz w:val="12"/>
          <w:szCs w:val="12"/>
        </w:rPr>
      </w:pPr>
      <w:r w:rsidRPr="00E316A8">
        <w:rPr>
          <w:b/>
          <w:bCs/>
          <w:color w:val="000000" w:themeColor="text1"/>
          <w:sz w:val="27"/>
          <w:lang w:val="uk-UA"/>
        </w:rPr>
        <w:t>4</w:t>
      </w:r>
      <w:r w:rsidRPr="00E316A8">
        <w:rPr>
          <w:color w:val="000000" w:themeColor="text1"/>
          <w:sz w:val="27"/>
          <w:szCs w:val="27"/>
          <w:lang w:val="uk-UA"/>
        </w:rPr>
        <w:t>.</w:t>
      </w:r>
      <w:r w:rsidRPr="00E316A8">
        <w:rPr>
          <w:b/>
          <w:bCs/>
          <w:color w:val="000000" w:themeColor="text1"/>
          <w:sz w:val="27"/>
          <w:lang w:val="uk-UA"/>
        </w:rPr>
        <w:t>Перелік базових реабілітаційних заходів</w:t>
      </w:r>
    </w:p>
    <w:p w:rsidR="009C30EF" w:rsidRPr="00E316A8" w:rsidRDefault="009C30EF" w:rsidP="009C30EF">
      <w:pPr>
        <w:spacing w:after="45"/>
        <w:ind w:firstLine="709"/>
        <w:jc w:val="both"/>
        <w:rPr>
          <w:color w:val="000000" w:themeColor="text1"/>
          <w:sz w:val="12"/>
          <w:szCs w:val="12"/>
        </w:rPr>
      </w:pPr>
      <w:r w:rsidRPr="00E316A8">
        <w:rPr>
          <w:color w:val="000000" w:themeColor="text1"/>
          <w:sz w:val="27"/>
          <w:szCs w:val="27"/>
          <w:lang w:val="uk-UA"/>
        </w:rPr>
        <w:t>Перелік базових реабілітаційних заходів призначається індивідуально залежно від потреб дитини та включає:</w:t>
      </w:r>
    </w:p>
    <w:p w:rsidR="009C30EF" w:rsidRPr="00E316A8" w:rsidRDefault="009C30EF" w:rsidP="009C30EF">
      <w:pPr>
        <w:spacing w:after="30"/>
        <w:ind w:firstLine="709"/>
        <w:jc w:val="both"/>
        <w:rPr>
          <w:color w:val="000000" w:themeColor="text1"/>
          <w:sz w:val="12"/>
          <w:szCs w:val="12"/>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консультації лікарів, заняття з профільними лікарями і спеціалістами з реабілітації (лікар-невролог дитячий, логопед, лікар-психолог, лікар-педіатр, педагог соціальний, лікар-</w:t>
      </w:r>
      <w:proofErr w:type="spellStart"/>
      <w:r w:rsidRPr="00E316A8">
        <w:rPr>
          <w:color w:val="000000" w:themeColor="text1"/>
          <w:sz w:val="27"/>
          <w:szCs w:val="27"/>
          <w:lang w:val="uk-UA"/>
        </w:rPr>
        <w:t>сурдолог</w:t>
      </w:r>
      <w:proofErr w:type="spellEnd"/>
      <w:r w:rsidRPr="00E316A8">
        <w:rPr>
          <w:color w:val="000000" w:themeColor="text1"/>
          <w:sz w:val="27"/>
          <w:szCs w:val="27"/>
          <w:lang w:val="uk-UA"/>
        </w:rPr>
        <w:t>, лікар фізичної та реабілітаційної медицини або лікар-фізіотерапевт, або лікар з лікувальної фізкультури, або лікар з лікувальної фізкультури і спортивної медицини, фізичний терапевт та інші);</w:t>
      </w:r>
    </w:p>
    <w:p w:rsidR="009C30EF" w:rsidRPr="00E316A8" w:rsidRDefault="009C30EF" w:rsidP="009C30EF">
      <w:pPr>
        <w:spacing w:after="30"/>
        <w:ind w:firstLine="709"/>
        <w:jc w:val="both"/>
        <w:rPr>
          <w:color w:val="000000" w:themeColor="text1"/>
          <w:sz w:val="12"/>
          <w:szCs w:val="12"/>
          <w:lang w:val="uk-UA"/>
        </w:rPr>
      </w:pPr>
      <w:r w:rsidRPr="00E316A8">
        <w:rPr>
          <w:rFonts w:ascii="Symbol" w:hAnsi="Symbol"/>
          <w:color w:val="000000" w:themeColor="text1"/>
          <w:sz w:val="20"/>
          <w:szCs w:val="20"/>
          <w:lang w:val="uk-UA"/>
        </w:rPr>
        <w:t></w:t>
      </w:r>
      <w:r w:rsidRPr="00E316A8">
        <w:rPr>
          <w:color w:val="000000" w:themeColor="text1"/>
          <w:sz w:val="14"/>
          <w:szCs w:val="14"/>
          <w:lang w:val="uk-UA"/>
        </w:rPr>
        <w:t>            </w:t>
      </w:r>
      <w:r w:rsidRPr="00E316A8">
        <w:rPr>
          <w:color w:val="000000" w:themeColor="text1"/>
          <w:sz w:val="27"/>
          <w:szCs w:val="27"/>
          <w:lang w:val="uk-UA"/>
        </w:rPr>
        <w:t xml:space="preserve">реабілітаційні послуги (комплекс процедур), у тому числі фізичну терапію, </w:t>
      </w:r>
      <w:r w:rsidRPr="00E316A8">
        <w:rPr>
          <w:b/>
          <w:color w:val="000000" w:themeColor="text1"/>
          <w:sz w:val="27"/>
          <w:szCs w:val="27"/>
          <w:lang w:val="uk-UA"/>
        </w:rPr>
        <w:t>лікувальну фізкультуру, масаж загальний</w:t>
      </w:r>
      <w:r w:rsidRPr="00E316A8">
        <w:rPr>
          <w:color w:val="000000" w:themeColor="text1"/>
          <w:sz w:val="27"/>
          <w:szCs w:val="27"/>
          <w:lang w:val="uk-UA"/>
        </w:rPr>
        <w:t xml:space="preserve">, механотерапію за потребою (локомоторну терапію, </w:t>
      </w:r>
      <w:proofErr w:type="spellStart"/>
      <w:r w:rsidRPr="00E316A8">
        <w:rPr>
          <w:color w:val="000000" w:themeColor="text1"/>
          <w:sz w:val="27"/>
          <w:szCs w:val="27"/>
          <w:lang w:val="uk-UA"/>
        </w:rPr>
        <w:t>мотомедтерапію</w:t>
      </w:r>
      <w:proofErr w:type="spellEnd"/>
      <w:r w:rsidRPr="00E316A8">
        <w:rPr>
          <w:color w:val="000000" w:themeColor="text1"/>
          <w:sz w:val="27"/>
          <w:szCs w:val="27"/>
          <w:lang w:val="uk-UA"/>
        </w:rPr>
        <w:t xml:space="preserve">), апаратну фізіотерапію (теплолікування, </w:t>
      </w:r>
      <w:proofErr w:type="spellStart"/>
      <w:r w:rsidRPr="00E316A8">
        <w:rPr>
          <w:color w:val="000000" w:themeColor="text1"/>
          <w:sz w:val="27"/>
          <w:szCs w:val="27"/>
          <w:lang w:val="uk-UA"/>
        </w:rPr>
        <w:t>вібротерапію</w:t>
      </w:r>
      <w:proofErr w:type="spellEnd"/>
      <w:r w:rsidRPr="00E316A8">
        <w:rPr>
          <w:color w:val="000000" w:themeColor="text1"/>
          <w:sz w:val="27"/>
          <w:szCs w:val="27"/>
          <w:lang w:val="uk-UA"/>
        </w:rPr>
        <w:t xml:space="preserve">), метод динамічної </w:t>
      </w:r>
      <w:proofErr w:type="spellStart"/>
      <w:r w:rsidRPr="00E316A8">
        <w:rPr>
          <w:color w:val="000000" w:themeColor="text1"/>
          <w:sz w:val="27"/>
          <w:szCs w:val="27"/>
          <w:lang w:val="uk-UA"/>
        </w:rPr>
        <w:t>пропріоцептивної</w:t>
      </w:r>
      <w:proofErr w:type="spellEnd"/>
      <w:r w:rsidRPr="00E316A8">
        <w:rPr>
          <w:color w:val="000000" w:themeColor="text1"/>
          <w:sz w:val="27"/>
          <w:szCs w:val="27"/>
          <w:lang w:val="uk-UA"/>
        </w:rPr>
        <w:t xml:space="preserve"> корекції із застосуванням рефлекторно-навантажувального пристрою “</w:t>
      </w:r>
      <w:proofErr w:type="spellStart"/>
      <w:r w:rsidRPr="00E316A8">
        <w:rPr>
          <w:color w:val="000000" w:themeColor="text1"/>
          <w:sz w:val="27"/>
          <w:szCs w:val="27"/>
          <w:lang w:val="uk-UA"/>
        </w:rPr>
        <w:t>Гравістат</w:t>
      </w:r>
      <w:proofErr w:type="spellEnd"/>
      <w:r w:rsidRPr="00E316A8">
        <w:rPr>
          <w:color w:val="000000" w:themeColor="text1"/>
          <w:sz w:val="27"/>
          <w:szCs w:val="27"/>
          <w:lang w:val="uk-UA"/>
        </w:rPr>
        <w:t xml:space="preserve">”, </w:t>
      </w:r>
      <w:r w:rsidRPr="00E316A8">
        <w:rPr>
          <w:b/>
          <w:color w:val="000000" w:themeColor="text1"/>
          <w:sz w:val="27"/>
          <w:szCs w:val="27"/>
          <w:lang w:val="uk-UA"/>
        </w:rPr>
        <w:t>логопедичну корекцію, психологічну корекцію, педагогічну корекцію, соціальну адаптацію</w:t>
      </w:r>
      <w:r w:rsidRPr="00E316A8">
        <w:rPr>
          <w:color w:val="000000" w:themeColor="text1"/>
          <w:sz w:val="27"/>
          <w:szCs w:val="27"/>
          <w:lang w:val="uk-UA"/>
        </w:rPr>
        <w:t xml:space="preserve"> тощо.</w:t>
      </w:r>
    </w:p>
    <w:p w:rsidR="00694750" w:rsidRPr="009C30EF" w:rsidRDefault="00694750">
      <w:pPr>
        <w:rPr>
          <w:lang w:val="uk-UA"/>
        </w:rPr>
      </w:pPr>
    </w:p>
    <w:sectPr w:rsidR="00694750" w:rsidRPr="009C30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31"/>
    <w:rsid w:val="00694750"/>
    <w:rsid w:val="00801A31"/>
    <w:rsid w:val="009C30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47FF4-A356-494F-A0A8-4E8D16D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E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z0682-1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5206</Words>
  <Characters>2968</Characters>
  <Application>Microsoft Office Word</Application>
  <DocSecurity>0</DocSecurity>
  <Lines>24</Lines>
  <Paragraphs>16</Paragraphs>
  <ScaleCrop>false</ScaleCrop>
  <Company/>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Шіошвілі Світлана Володимирівна</dc:creator>
  <cp:keywords/>
  <dc:description/>
  <cp:lastModifiedBy>Шіошвілі Світлана Володимирівна</cp:lastModifiedBy>
  <cp:revision>2</cp:revision>
  <dcterms:created xsi:type="dcterms:W3CDTF">2020-02-10T07:59:00Z</dcterms:created>
  <dcterms:modified xsi:type="dcterms:W3CDTF">2020-02-10T08:00:00Z</dcterms:modified>
</cp:coreProperties>
</file>