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69F36D12" w14:textId="0FCBE145" w:rsidR="00A45252" w:rsidRPr="00A45252" w:rsidRDefault="00E5233C" w:rsidP="00A45252">
      <w:pPr>
        <w:ind w:left="5220" w:firstLine="0"/>
        <w:rPr>
          <w:color w:val="000000"/>
          <w:szCs w:val="28"/>
        </w:rPr>
      </w:pPr>
      <w:r w:rsidRPr="00E5233C">
        <w:rPr>
          <w:color w:val="000000"/>
          <w:szCs w:val="28"/>
          <w:u w:val="single"/>
        </w:rPr>
        <w:t>30.04.2021</w:t>
      </w:r>
      <w:r>
        <w:rPr>
          <w:color w:val="000000"/>
          <w:szCs w:val="28"/>
        </w:rPr>
        <w:t xml:space="preserve"> </w:t>
      </w:r>
      <w:r w:rsidR="00A45252" w:rsidRPr="00A45252">
        <w:rPr>
          <w:color w:val="000000"/>
          <w:szCs w:val="28"/>
        </w:rPr>
        <w:t xml:space="preserve">№ </w:t>
      </w:r>
      <w:r w:rsidRPr="00E5233C">
        <w:rPr>
          <w:color w:val="000000"/>
          <w:szCs w:val="28"/>
          <w:u w:val="single"/>
        </w:rPr>
        <w:t>25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5CFA6CC6" w:rsidR="00A45252" w:rsidRP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>адміністратора відділу забезпечення діяльності ЦНАП управління (Центру) надання адміністративних послуг Подільської районної 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6CBFA" w14:textId="78A9CC24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1. Надання суб’єктам звернень вичерпної і</w:t>
            </w:r>
            <w:r>
              <w:rPr>
                <w:color w:val="000000"/>
                <w:szCs w:val="28"/>
                <w:lang w:eastAsia="zh-CN"/>
              </w:rPr>
              <w:t>нформації та консультацій на рецепції</w:t>
            </w:r>
            <w:r w:rsidRPr="00A45252">
              <w:rPr>
                <w:color w:val="000000"/>
                <w:szCs w:val="28"/>
                <w:lang w:eastAsia="zh-CN"/>
              </w:rPr>
              <w:t xml:space="preserve">, щодо вимог та порядку надання адміністративних послуг. Прийняття </w:t>
            </w:r>
            <w:r>
              <w:rPr>
                <w:color w:val="000000"/>
                <w:szCs w:val="28"/>
                <w:lang w:eastAsia="zh-CN"/>
              </w:rPr>
              <w:t xml:space="preserve">                             </w:t>
            </w:r>
            <w:r w:rsidRPr="00A45252">
              <w:rPr>
                <w:color w:val="000000"/>
                <w:szCs w:val="28"/>
                <w:lang w:eastAsia="zh-CN"/>
              </w:rPr>
              <w:t>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6D9BEACB" w14:textId="25098554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 xml:space="preserve">2. Надання вичерпних консультацій щодо отримання «Швидких послуг» та здійснення запису на прийом </w:t>
            </w:r>
            <w:r>
              <w:rPr>
                <w:color w:val="000000"/>
                <w:szCs w:val="28"/>
                <w:lang w:eastAsia="zh-CN"/>
              </w:rPr>
              <w:t xml:space="preserve">                      </w:t>
            </w:r>
            <w:r w:rsidRPr="00A45252">
              <w:rPr>
                <w:color w:val="000000"/>
                <w:szCs w:val="28"/>
                <w:lang w:eastAsia="zh-CN"/>
              </w:rPr>
              <w:t>у центрі надання адміністративних послуг через особистий кабінет в інформ</w:t>
            </w:r>
            <w:r>
              <w:rPr>
                <w:color w:val="000000"/>
                <w:szCs w:val="28"/>
                <w:lang w:eastAsia="zh-CN"/>
              </w:rPr>
              <w:t xml:space="preserve">аційній системі та по телефону </w:t>
            </w:r>
            <w:proofErr w:type="spellStart"/>
            <w:r>
              <w:rPr>
                <w:color w:val="000000"/>
                <w:szCs w:val="28"/>
                <w:lang w:eastAsia="zh-CN"/>
              </w:rPr>
              <w:t>К</w:t>
            </w:r>
            <w:r w:rsidRPr="00A45252">
              <w:rPr>
                <w:color w:val="000000"/>
                <w:szCs w:val="28"/>
                <w:lang w:eastAsia="zh-CN"/>
              </w:rPr>
              <w:t>ол</w:t>
            </w:r>
            <w:proofErr w:type="spellEnd"/>
            <w:r w:rsidRPr="00A4525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118B57B3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29B01B83" w14:textId="4BF9F386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суб’єктів звернень про вимоги та порядок надання адміністративних послуг, що </w:t>
            </w:r>
            <w:r w:rsidRPr="00A45252">
              <w:rPr>
                <w:color w:val="000000"/>
                <w:szCs w:val="28"/>
                <w:lang w:eastAsia="zh-CN"/>
              </w:rPr>
              <w:lastRenderedPageBreak/>
              <w:t xml:space="preserve">надаються через адміністратора особисто, за допомогою засобів зв’язку та мережі </w:t>
            </w:r>
            <w:r w:rsidR="00142654">
              <w:rPr>
                <w:color w:val="000000"/>
                <w:szCs w:val="28"/>
                <w:lang w:eastAsia="zh-CN"/>
              </w:rPr>
              <w:t>інтернет</w:t>
            </w:r>
            <w:r w:rsidRPr="00A45252">
              <w:rPr>
                <w:color w:val="000000"/>
                <w:szCs w:val="28"/>
                <w:lang w:eastAsia="zh-CN"/>
              </w:rPr>
              <w:t>.</w:t>
            </w:r>
          </w:p>
          <w:p w14:paraId="641C2DE1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 а також прийняття, обробка та відправлення кореспонденції через систему електронного документообігу «АСКОД».</w:t>
            </w:r>
          </w:p>
          <w:p w14:paraId="281900E8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62449AE6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14:paraId="7CF7427E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8. 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на інформаційних стендах та офіційних WEB – сайтах.</w:t>
            </w:r>
          </w:p>
          <w:p w14:paraId="34BECCEB" w14:textId="77777777" w:rsidR="00A45252" w:rsidRPr="00A45252" w:rsidRDefault="00A45252" w:rsidP="00A4525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A4525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16C811A4" w:rsidR="00290BC5" w:rsidRPr="00E43D9E" w:rsidRDefault="00A45252" w:rsidP="00A4525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 w:rsidRPr="00A45252">
              <w:rPr>
                <w:color w:val="000000"/>
                <w:szCs w:val="28"/>
                <w:lang w:eastAsia="zh-CN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EF4DDC">
              <w:rPr>
                <w:color w:val="000000"/>
                <w:szCs w:val="28"/>
              </w:rPr>
              <w:t>н</w:t>
            </w:r>
            <w:proofErr w:type="spellStart"/>
            <w:r w:rsidRPr="00EF4DDC">
              <w:rPr>
                <w:color w:val="000000"/>
                <w:szCs w:val="28"/>
                <w:lang w:val="ru-RU"/>
              </w:rPr>
              <w:t>адбавки</w:t>
            </w:r>
            <w:proofErr w:type="spellEnd"/>
            <w:r w:rsidRPr="00EF4DDC">
              <w:rPr>
                <w:color w:val="000000"/>
                <w:szCs w:val="28"/>
                <w:lang w:val="ru-RU"/>
              </w:rPr>
              <w:t xml:space="preserve">, доплати, </w:t>
            </w:r>
            <w:proofErr w:type="spellStart"/>
            <w:r w:rsidRPr="00EF4DDC">
              <w:rPr>
                <w:color w:val="000000"/>
                <w:szCs w:val="28"/>
                <w:lang w:val="ru-RU"/>
              </w:rPr>
              <w:t>премії</w:t>
            </w:r>
            <w:proofErr w:type="spellEnd"/>
            <w:r w:rsidRPr="00EF4DDC">
              <w:rPr>
                <w:color w:val="000000"/>
                <w:szCs w:val="28"/>
                <w:lang w:val="ru-RU"/>
              </w:rPr>
              <w:t xml:space="preserve"> та </w:t>
            </w:r>
            <w:proofErr w:type="spellStart"/>
            <w:r w:rsidRPr="00EF4DDC">
              <w:rPr>
                <w:color w:val="000000"/>
                <w:szCs w:val="28"/>
                <w:lang w:val="ru-RU"/>
              </w:rPr>
              <w:t>компенсації</w:t>
            </w:r>
            <w:proofErr w:type="spellEnd"/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lastRenderedPageBreak/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1) </w:t>
            </w:r>
            <w:r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>
              <w:rPr>
                <w:rFonts w:eastAsia="MS Mincho"/>
                <w:szCs w:val="28"/>
                <w:lang w:val="ru-RU" w:eastAsia="ja-JP"/>
              </w:rPr>
              <w:t xml:space="preserve"> </w:t>
            </w:r>
            <w:r w:rsidR="00142654">
              <w:rPr>
                <w:rFonts w:eastAsia="MS Mincho"/>
                <w:szCs w:val="28"/>
                <w:lang w:val="ru-RU" w:eastAsia="ja-JP"/>
              </w:rPr>
              <w:t>Порядку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>
              <w:rPr>
                <w:szCs w:val="28"/>
              </w:rPr>
              <w:t xml:space="preserve"> </w:t>
            </w:r>
            <w:r w:rsidR="00142654" w:rsidRPr="00142654">
              <w:rPr>
                <w:szCs w:val="28"/>
              </w:rPr>
              <w:t>затвердженого</w:t>
            </w:r>
            <w:r w:rsidR="001426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постановою Кабінету Міністрів України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>
              <w:rPr>
                <w:color w:val="000000"/>
                <w:spacing w:val="-6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16FE431C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>2) резюме за формою згідно з додатком 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3629896A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1FACEB16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D4570AE" w14:textId="77777777" w:rsidR="00290BC5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val="ru-RU" w:eastAsia="ja-JP"/>
              </w:rPr>
            </w:pPr>
            <w:r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  <w:lang w:val="ru-RU"/>
              </w:rPr>
              <w:t>.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EAB1E88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lastRenderedPageBreak/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24A3D436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142654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42654">
              <w:rPr>
                <w:sz w:val="28"/>
                <w:szCs w:val="28"/>
                <w:lang w:val="uk-UA"/>
              </w:rPr>
              <w:t xml:space="preserve">травня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77B6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2E9861DA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EF4DDC" w14:paraId="36EE9537" w14:textId="2B563166" w:rsidTr="00355B62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39FA2726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травня 2021 року 09</w:t>
            </w:r>
            <w:r w:rsidRPr="00EF5AFE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30</w:t>
            </w:r>
            <w:r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355B62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FBDB119" w14:textId="2C22854D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355B62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2924712C" w14:textId="1740A032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355B62">
        <w:trPr>
          <w:trHeight w:val="496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3BEB6" w14:textId="77777777" w:rsidR="00355B62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  <w:p w14:paraId="1EE82176" w14:textId="77777777" w:rsidR="000A5871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  <w:p w14:paraId="4A58816F" w14:textId="77777777" w:rsidR="000A5871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  <w:p w14:paraId="3AB9C09F" w14:textId="36511144" w:rsidR="000A5871" w:rsidRPr="00DF4CD9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22D76F2" w14:textId="77777777" w:rsidR="00355B62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  <w:p w14:paraId="65333046" w14:textId="77777777" w:rsidR="000A5871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355B62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>
              <w:rPr>
                <w:sz w:val="28"/>
                <w:szCs w:val="28"/>
                <w:lang w:val="uk-UA"/>
              </w:rPr>
              <w:t xml:space="preserve"> </w:t>
            </w:r>
            <w:r w:rsidR="00290BC5" w:rsidRPr="00EA3E27">
              <w:rPr>
                <w:sz w:val="28"/>
                <w:szCs w:val="28"/>
                <w:lang w:val="uk-UA"/>
              </w:rPr>
              <w:t>(044)</w:t>
            </w:r>
            <w:r w:rsidR="00290B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366-64-84</w:t>
            </w:r>
            <w:r w:rsidR="00290BC5" w:rsidRPr="00EA3E27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507FBE" w:rsidRDefault="00E5233C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</w:rPr>
            </w:pPr>
            <w:hyperlink r:id="rId6" w:history="1"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89752D2" w14:textId="77777777" w:rsidR="000A5871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02F2A935" w14:textId="4B4185DD" w:rsidR="00355B62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0A5871">
              <w:rPr>
                <w:b/>
                <w:lang w:val="uk-UA"/>
              </w:rPr>
              <w:t>П</w:t>
            </w:r>
            <w:r w:rsidR="00355B62" w:rsidRPr="000A5871">
              <w:rPr>
                <w:b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290BC5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7777777" w:rsidR="00290BC5" w:rsidRPr="008A71FA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860D6">
              <w:rPr>
                <w:sz w:val="28"/>
                <w:szCs w:val="28"/>
              </w:rPr>
              <w:t>вища</w:t>
            </w:r>
            <w:proofErr w:type="spellEnd"/>
            <w:r w:rsidRPr="005860D6">
              <w:rPr>
                <w:sz w:val="28"/>
                <w:szCs w:val="28"/>
              </w:rPr>
              <w:t xml:space="preserve">, </w:t>
            </w:r>
            <w:proofErr w:type="spellStart"/>
            <w:r w:rsidRPr="005860D6">
              <w:rPr>
                <w:sz w:val="28"/>
                <w:szCs w:val="28"/>
              </w:rPr>
              <w:t>ступінь</w:t>
            </w:r>
            <w:proofErr w:type="spellEnd"/>
            <w:r w:rsidRPr="005860D6">
              <w:rPr>
                <w:sz w:val="28"/>
                <w:szCs w:val="28"/>
              </w:rPr>
              <w:t xml:space="preserve"> </w:t>
            </w:r>
            <w:proofErr w:type="spellStart"/>
            <w:r w:rsidRPr="005860D6">
              <w:rPr>
                <w:sz w:val="28"/>
                <w:szCs w:val="28"/>
              </w:rPr>
              <w:t>освіти</w:t>
            </w:r>
            <w:proofErr w:type="spellEnd"/>
            <w:r w:rsidRPr="005860D6">
              <w:rPr>
                <w:sz w:val="28"/>
                <w:szCs w:val="28"/>
              </w:rPr>
              <w:t xml:space="preserve"> не </w:t>
            </w:r>
            <w:proofErr w:type="spellStart"/>
            <w:r w:rsidRPr="005860D6">
              <w:rPr>
                <w:sz w:val="28"/>
                <w:szCs w:val="28"/>
              </w:rPr>
              <w:t>нижче</w:t>
            </w:r>
            <w:proofErr w:type="spellEnd"/>
            <w:r w:rsidRPr="005860D6">
              <w:rPr>
                <w:sz w:val="28"/>
                <w:szCs w:val="28"/>
              </w:rPr>
              <w:t xml:space="preserve"> бакалавра, </w:t>
            </w:r>
            <w:proofErr w:type="spellStart"/>
            <w:r w:rsidRPr="005860D6">
              <w:rPr>
                <w:sz w:val="28"/>
                <w:szCs w:val="28"/>
              </w:rPr>
              <w:t>молодшого</w:t>
            </w:r>
            <w:proofErr w:type="spellEnd"/>
            <w:r w:rsidRPr="005860D6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EF4DDC" w14:paraId="27C2C17F" w14:textId="0BE3FA71" w:rsidTr="00290BC5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потребує</w:t>
            </w:r>
            <w:proofErr w:type="spellEnd"/>
          </w:p>
        </w:tc>
      </w:tr>
      <w:tr w:rsidR="00290BC5" w:rsidRPr="00EF4DDC" w14:paraId="2C1086F6" w14:textId="08BE36FC" w:rsidTr="00290BC5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77777777" w:rsidR="00290BC5" w:rsidRPr="00EF4DDC" w:rsidRDefault="00290BC5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  <w:r w:rsidRPr="00EF4DDC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EF4DDC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>
              <w:t xml:space="preserve">   </w:t>
            </w:r>
            <w:hyperlink r:id="rId7" w:tgtFrame="_top" w:history="1">
              <w:r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39595E8E" w14:textId="0E1BA56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9AE76" w14:textId="77777777" w:rsidR="00BF43A1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6E36C" w14:textId="7A14C847" w:rsidR="00BF43A1" w:rsidRPr="00BC41DD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6D71F0">
              <w:rPr>
                <w:sz w:val="28"/>
                <w:szCs w:val="28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43E36" w14:textId="3F25B986" w:rsidR="00BF43A1" w:rsidRPr="006D71F0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6D71F0">
              <w:rPr>
                <w:sz w:val="28"/>
                <w:szCs w:val="28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5CE35F2E" w14:textId="254B0F37" w:rsidR="00BF43A1" w:rsidRPr="006D71F0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6D71F0">
              <w:rPr>
                <w:sz w:val="28"/>
                <w:szCs w:val="28"/>
                <w:lang w:val="uk-UA"/>
              </w:rPr>
              <w:t xml:space="preserve">здатність до </w:t>
            </w:r>
            <w:proofErr w:type="spellStart"/>
            <w:r w:rsidR="00BF43A1" w:rsidRPr="006D71F0">
              <w:rPr>
                <w:sz w:val="28"/>
                <w:szCs w:val="28"/>
                <w:lang w:val="uk-UA"/>
              </w:rPr>
              <w:t>самомотивації</w:t>
            </w:r>
            <w:proofErr w:type="spellEnd"/>
            <w:r w:rsidR="00BF43A1" w:rsidRPr="006D71F0">
              <w:rPr>
                <w:sz w:val="28"/>
                <w:szCs w:val="28"/>
                <w:lang w:val="uk-UA"/>
              </w:rPr>
              <w:t xml:space="preserve"> (самоуправління);</w:t>
            </w:r>
          </w:p>
          <w:p w14:paraId="7F534A61" w14:textId="19C73F14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D71F0">
              <w:rPr>
                <w:sz w:val="28"/>
                <w:szCs w:val="28"/>
                <w:lang w:val="uk-UA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77777777" w:rsidR="00BF43A1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1364FFAD" w:rsidR="000A5871" w:rsidRDefault="000A587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</w:t>
            </w:r>
            <w:r w:rsidRPr="000A5871">
              <w:rPr>
                <w:sz w:val="28"/>
                <w:szCs w:val="28"/>
                <w:lang w:val="uk-UA"/>
              </w:rPr>
              <w:lastRenderedPageBreak/>
              <w:t xml:space="preserve">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584D758D" w:rsid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574C7">
            <w:pPr>
              <w:ind w:left="18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9D0DDA6" w14:textId="7C09394F" w:rsidR="003574C7" w:rsidRPr="00005EB1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  <w:p w14:paraId="4CDC08A2" w14:textId="08E894E6" w:rsidR="003574C7" w:rsidRDefault="003574C7" w:rsidP="003574C7">
            <w:pPr>
              <w:ind w:left="18" w:firstLine="0"/>
              <w:rPr>
                <w:szCs w:val="28"/>
              </w:rPr>
            </w:pP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0F70BC53" w14:textId="77777777" w:rsidR="00507FBE" w:rsidRDefault="00507FBE" w:rsidP="00507FBE">
      <w:pPr>
        <w:ind w:firstLine="0"/>
        <w:rPr>
          <w:szCs w:val="28"/>
        </w:rPr>
      </w:pPr>
    </w:p>
    <w:p w14:paraId="7AA3DDFF" w14:textId="77777777" w:rsidR="00507FBE" w:rsidRPr="00EF4DDC" w:rsidRDefault="00507FBE" w:rsidP="00D17FF0">
      <w:pPr>
        <w:pStyle w:val="rvps7"/>
        <w:jc w:val="center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4107"/>
    <w:rsid w:val="00964169"/>
    <w:rsid w:val="009662C7"/>
    <w:rsid w:val="00972BD7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80D7-6B46-418B-927C-4157C75C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6931</Words>
  <Characters>3951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7</cp:revision>
  <cp:lastPrinted>2021-04-28T11:44:00Z</cp:lastPrinted>
  <dcterms:created xsi:type="dcterms:W3CDTF">2021-04-28T09:56:00Z</dcterms:created>
  <dcterms:modified xsi:type="dcterms:W3CDTF">2021-04-28T12:38:00Z</dcterms:modified>
</cp:coreProperties>
</file>