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A45252" w:rsidRDefault="00A45252" w:rsidP="00A45252">
      <w:pPr>
        <w:ind w:firstLine="5245"/>
        <w:rPr>
          <w:b/>
          <w:color w:val="000000"/>
          <w:szCs w:val="28"/>
        </w:rPr>
      </w:pPr>
      <w:r w:rsidRPr="00A45252">
        <w:rPr>
          <w:b/>
          <w:color w:val="000000"/>
          <w:szCs w:val="28"/>
        </w:rPr>
        <w:t>ЗАТВЕРДЖЕНО</w:t>
      </w:r>
    </w:p>
    <w:p w14:paraId="2C1FD465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6D05AA31" w14:textId="77777777" w:rsidR="00B96914" w:rsidRDefault="00B96914" w:rsidP="00B96914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30.04.2021</w:t>
      </w:r>
      <w:r>
        <w:rPr>
          <w:color w:val="000000"/>
          <w:szCs w:val="28"/>
        </w:rPr>
        <w:t xml:space="preserve"> № </w:t>
      </w:r>
      <w:r>
        <w:rPr>
          <w:color w:val="000000"/>
          <w:szCs w:val="28"/>
          <w:u w:val="single"/>
        </w:rPr>
        <w:t>25</w:t>
      </w:r>
    </w:p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5CFA6CC6" w:rsidR="00A45252" w:rsidRP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>адміністратора відділу забезпечення діяльності ЦНАП управління (Центру) надання адміністративних послуг Подільської районної 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290BC5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89DB9" w14:textId="77777777" w:rsidR="00290BC5" w:rsidRPr="00EF4DDC" w:rsidRDefault="00290BC5" w:rsidP="00142654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6CBFA" w14:textId="78A9CC24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1. Надання суб’єктам звернень вичерпної і</w:t>
            </w:r>
            <w:r>
              <w:rPr>
                <w:color w:val="000000"/>
                <w:szCs w:val="28"/>
                <w:lang w:eastAsia="zh-CN"/>
              </w:rPr>
              <w:t>нформації та консультацій на рецепції</w:t>
            </w:r>
            <w:r w:rsidRPr="00A45252">
              <w:rPr>
                <w:color w:val="000000"/>
                <w:szCs w:val="28"/>
                <w:lang w:eastAsia="zh-CN"/>
              </w:rPr>
              <w:t xml:space="preserve">, щодо вимог та порядку надання адміністративних послуг. Прийняття </w:t>
            </w:r>
            <w:r>
              <w:rPr>
                <w:color w:val="000000"/>
                <w:szCs w:val="28"/>
                <w:lang w:eastAsia="zh-CN"/>
              </w:rPr>
              <w:t xml:space="preserve">                             </w:t>
            </w:r>
            <w:r w:rsidRPr="00A45252">
              <w:rPr>
                <w:color w:val="000000"/>
                <w:szCs w:val="28"/>
                <w:lang w:eastAsia="zh-CN"/>
              </w:rPr>
              <w:t>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14:paraId="6D9BEACB" w14:textId="25098554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 xml:space="preserve">2. Надання вичерпних консультацій щодо отримання «Швидких послуг» та здійснення запису на прийом </w:t>
            </w:r>
            <w:r>
              <w:rPr>
                <w:color w:val="000000"/>
                <w:szCs w:val="28"/>
                <w:lang w:eastAsia="zh-CN"/>
              </w:rPr>
              <w:t xml:space="preserve">                      </w:t>
            </w:r>
            <w:r w:rsidRPr="00A45252">
              <w:rPr>
                <w:color w:val="000000"/>
                <w:szCs w:val="28"/>
                <w:lang w:eastAsia="zh-CN"/>
              </w:rPr>
              <w:t>у центрі надання адміністративних послуг через особистий кабінет в інформ</w:t>
            </w:r>
            <w:r>
              <w:rPr>
                <w:color w:val="000000"/>
                <w:szCs w:val="28"/>
                <w:lang w:eastAsia="zh-CN"/>
              </w:rPr>
              <w:t xml:space="preserve">аційній системі та по телефону </w:t>
            </w:r>
            <w:proofErr w:type="spellStart"/>
            <w:r>
              <w:rPr>
                <w:color w:val="000000"/>
                <w:szCs w:val="28"/>
                <w:lang w:eastAsia="zh-CN"/>
              </w:rPr>
              <w:t>К</w:t>
            </w:r>
            <w:r w:rsidRPr="00A45252">
              <w:rPr>
                <w:color w:val="000000"/>
                <w:szCs w:val="28"/>
                <w:lang w:eastAsia="zh-CN"/>
              </w:rPr>
              <w:t>ол</w:t>
            </w:r>
            <w:proofErr w:type="spellEnd"/>
            <w:r w:rsidRPr="00A45252">
              <w:rPr>
                <w:color w:val="000000"/>
                <w:szCs w:val="28"/>
                <w:lang w:eastAsia="zh-CN"/>
              </w:rPr>
              <w:t>-центру. Надання допомоги щодо формування пакету документів та заповнення бланків заяв для подання адміністратору для отримання адміністративних послуг.</w:t>
            </w:r>
          </w:p>
          <w:p w14:paraId="118B57B3" w14:textId="77777777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 Отримання поштової кореспонденції.</w:t>
            </w:r>
          </w:p>
          <w:p w14:paraId="29B01B83" w14:textId="4BF9F386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 xml:space="preserve">4. Організаційне забезпечення надання адміністративних послуг суб’єктами надання адміністративних послуг. Забезпечення інформування суб’єктів звернень про вимоги та порядок надання адміністративних послуг, що </w:t>
            </w:r>
            <w:r w:rsidRPr="00A45252">
              <w:rPr>
                <w:color w:val="000000"/>
                <w:szCs w:val="28"/>
                <w:lang w:eastAsia="zh-CN"/>
              </w:rPr>
              <w:lastRenderedPageBreak/>
              <w:t xml:space="preserve">надаються через адміністратора особисто, за допомогою засобів зв’язку та мережі </w:t>
            </w:r>
            <w:r w:rsidR="00142654">
              <w:rPr>
                <w:color w:val="000000"/>
                <w:szCs w:val="28"/>
                <w:lang w:eastAsia="zh-CN"/>
              </w:rPr>
              <w:t>інтернет</w:t>
            </w:r>
            <w:r w:rsidRPr="00A45252">
              <w:rPr>
                <w:color w:val="000000"/>
                <w:szCs w:val="28"/>
                <w:lang w:eastAsia="zh-CN"/>
              </w:rPr>
              <w:t>.</w:t>
            </w:r>
          </w:p>
          <w:p w14:paraId="641C2DE1" w14:textId="77777777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 Здійснення постійного контролю за строками виконання адміністративних послуг суб’єктами надання адміністративних послуг, а також прийняття, обробка та відправлення кореспонденції через систему електронного документообігу «АСКОД».</w:t>
            </w:r>
          </w:p>
          <w:p w14:paraId="281900E8" w14:textId="77777777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62449AE6" w14:textId="77777777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14:paraId="7CF7427E" w14:textId="77777777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8. 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 Розміщення актуальної інформації щодо надання адміністративних послуг та роботи управління (Центру) на інформаційних стендах та офіційних WEB – сайтах.</w:t>
            </w:r>
          </w:p>
          <w:p w14:paraId="34BECCEB" w14:textId="77777777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9. Здійснення електронного документообігу, діловодства та контролю виконання поточної документації. Розгляд в установленому законодавством порядку звернення громадян, запитів.</w:t>
            </w:r>
          </w:p>
          <w:p w14:paraId="659A881F" w14:textId="16C811A4" w:rsidR="00290BC5" w:rsidRPr="00E43D9E" w:rsidRDefault="00A45252" w:rsidP="00A45252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 w:rsidRPr="00A45252">
              <w:rPr>
                <w:color w:val="000000"/>
                <w:szCs w:val="28"/>
                <w:lang w:eastAsia="zh-CN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 адміністратора відділу забезпечення діяльності ЦНАП.</w:t>
            </w:r>
          </w:p>
        </w:tc>
      </w:tr>
      <w:tr w:rsidR="00290BC5" w:rsidRPr="00EF4DDC" w14:paraId="307B286B" w14:textId="45777D92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64F3C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871A39">
            <w:pPr>
              <w:pStyle w:val="rvps12"/>
              <w:spacing w:before="0" w:beforeAutospacing="0" w:after="60" w:afterAutospacing="0"/>
              <w:ind w:left="8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1D573C4E" w:rsidR="00290BC5" w:rsidRPr="00EF4DDC" w:rsidRDefault="00290BC5" w:rsidP="00871A39">
            <w:pPr>
              <w:ind w:firstLine="0"/>
              <w:rPr>
                <w:szCs w:val="28"/>
              </w:rPr>
            </w:pPr>
            <w:r w:rsidRPr="00EF4DDC">
              <w:rPr>
                <w:color w:val="000000"/>
                <w:szCs w:val="28"/>
              </w:rPr>
              <w:t>н</w:t>
            </w:r>
            <w:proofErr w:type="spellStart"/>
            <w:r w:rsidRPr="00EF4DDC">
              <w:rPr>
                <w:color w:val="000000"/>
                <w:szCs w:val="28"/>
                <w:lang w:val="ru-RU"/>
              </w:rPr>
              <w:t>адбавки</w:t>
            </w:r>
            <w:proofErr w:type="spellEnd"/>
            <w:r w:rsidRPr="00EF4DDC">
              <w:rPr>
                <w:color w:val="000000"/>
                <w:szCs w:val="28"/>
                <w:lang w:val="ru-RU"/>
              </w:rPr>
              <w:t xml:space="preserve">, доплати, </w:t>
            </w:r>
            <w:proofErr w:type="spellStart"/>
            <w:r w:rsidRPr="00EF4DDC">
              <w:rPr>
                <w:color w:val="000000"/>
                <w:szCs w:val="28"/>
                <w:lang w:val="ru-RU"/>
              </w:rPr>
              <w:t>премії</w:t>
            </w:r>
            <w:proofErr w:type="spellEnd"/>
            <w:r w:rsidRPr="00EF4DDC">
              <w:rPr>
                <w:color w:val="000000"/>
                <w:szCs w:val="28"/>
                <w:lang w:val="ru-RU"/>
              </w:rPr>
              <w:t xml:space="preserve"> та </w:t>
            </w:r>
            <w:proofErr w:type="spellStart"/>
            <w:r w:rsidRPr="00EF4DDC">
              <w:rPr>
                <w:color w:val="000000"/>
                <w:szCs w:val="28"/>
                <w:lang w:val="ru-RU"/>
              </w:rPr>
              <w:t>компенсації</w:t>
            </w:r>
            <w:proofErr w:type="spellEnd"/>
            <w:r w:rsidRPr="00EF4DDC">
              <w:rPr>
                <w:szCs w:val="28"/>
              </w:rPr>
              <w:t xml:space="preserve"> відповідно </w:t>
            </w:r>
            <w:r w:rsidR="00142654">
              <w:rPr>
                <w:szCs w:val="28"/>
              </w:rPr>
              <w:t xml:space="preserve">                 </w:t>
            </w:r>
            <w:r w:rsidRPr="00EF4DDC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55129C2C" w:rsidR="00290BC5" w:rsidRPr="00EF4DDC" w:rsidRDefault="00290BC5" w:rsidP="00142654">
            <w:pPr>
              <w:ind w:firstLine="0"/>
              <w:rPr>
                <w:szCs w:val="28"/>
              </w:rPr>
            </w:pPr>
            <w:r w:rsidRPr="00EF4DDC">
              <w:rPr>
                <w:szCs w:val="28"/>
              </w:rPr>
              <w:t xml:space="preserve">надбавка до посадового окладу за ранг відповідно </w:t>
            </w:r>
            <w:r w:rsidR="00142654">
              <w:rPr>
                <w:szCs w:val="28"/>
              </w:rPr>
              <w:t xml:space="preserve">                      </w:t>
            </w:r>
            <w:r w:rsidRPr="00EF4DDC">
              <w:rPr>
                <w:szCs w:val="28"/>
              </w:rPr>
              <w:t xml:space="preserve">до постанови Кабінету Міністрів України </w:t>
            </w:r>
            <w:r w:rsidR="00142654">
              <w:rPr>
                <w:szCs w:val="28"/>
              </w:rPr>
              <w:t xml:space="preserve">                                     </w:t>
            </w:r>
            <w:r w:rsidRPr="00EF4DDC">
              <w:rPr>
                <w:szCs w:val="28"/>
              </w:rPr>
              <w:lastRenderedPageBreak/>
              <w:t>від 18 січня 2017 року № 15 «Питання оплати праці працівників державних органів» (із змінами)</w:t>
            </w:r>
            <w:r w:rsidR="001D6B48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5055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871A3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27831A69" w14:textId="45FE21A5" w:rsidR="00290BC5" w:rsidRPr="00ED7A9F" w:rsidRDefault="00142654" w:rsidP="00871A39">
            <w:pPr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1D6B48">
              <w:rPr>
                <w:szCs w:val="28"/>
              </w:rPr>
              <w:t>.</w:t>
            </w:r>
          </w:p>
          <w:p w14:paraId="6B98F985" w14:textId="77777777" w:rsidR="00290BC5" w:rsidRPr="00EF4DDC" w:rsidRDefault="00290BC5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</w:tc>
      </w:tr>
      <w:tr w:rsidR="00290BC5" w:rsidRPr="00EF4DDC" w14:paraId="1C27C43B" w14:textId="223ACF2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08EA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AC42" w14:textId="3A6F5430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1) </w:t>
            </w:r>
            <w:r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>
              <w:rPr>
                <w:rFonts w:eastAsia="MS Mincho"/>
                <w:szCs w:val="28"/>
                <w:lang w:val="ru-RU" w:eastAsia="ja-JP"/>
              </w:rPr>
              <w:t xml:space="preserve"> </w:t>
            </w:r>
            <w:r w:rsidR="00142654">
              <w:rPr>
                <w:rFonts w:eastAsia="MS Mincho"/>
                <w:szCs w:val="28"/>
                <w:lang w:val="ru-RU" w:eastAsia="ja-JP"/>
              </w:rPr>
              <w:t>Порядку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>
              <w:rPr>
                <w:szCs w:val="28"/>
              </w:rPr>
              <w:t xml:space="preserve"> </w:t>
            </w:r>
            <w:r w:rsidR="00142654" w:rsidRPr="00142654">
              <w:rPr>
                <w:szCs w:val="28"/>
              </w:rPr>
              <w:t>затвердженого</w:t>
            </w:r>
            <w:r w:rsidR="0014265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постановою Кабінету Міністрів України 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>
              <w:rPr>
                <w:color w:val="000000"/>
                <w:spacing w:val="-6"/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14:paraId="16FE431C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>2) резюме за формою згідно з додатком 2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33614890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3629896A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2897DD3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1FACEB16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рівня вільного володіння державною мовою;</w:t>
            </w:r>
          </w:p>
          <w:p w14:paraId="47C35FF7" w14:textId="77777777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2D4570AE" w14:textId="77777777" w:rsidR="00290BC5" w:rsidRDefault="00290BC5" w:rsidP="00871A39">
            <w:pPr>
              <w:shd w:val="clear" w:color="auto" w:fill="FFFFFF"/>
              <w:ind w:firstLine="426"/>
              <w:rPr>
                <w:rFonts w:eastAsia="MS Mincho"/>
                <w:szCs w:val="28"/>
                <w:lang w:val="ru-RU" w:eastAsia="ja-JP"/>
              </w:rPr>
            </w:pPr>
            <w:r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Cs w:val="28"/>
                <w:lang w:val="ru-RU"/>
              </w:rPr>
              <w:t>.</w:t>
            </w:r>
          </w:p>
          <w:p w14:paraId="351498B1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162C5AFB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EAB1E88" w14:textId="77777777" w:rsidR="00142654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lastRenderedPageBreak/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871A39">
            <w:pPr>
              <w:shd w:val="clear" w:color="auto" w:fill="FFFFFF"/>
              <w:ind w:firstLine="42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1DAA1800" w14:textId="24A3D436" w:rsidR="00290BC5" w:rsidRPr="00EF5AFE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142654">
              <w:rPr>
                <w:sz w:val="28"/>
                <w:szCs w:val="28"/>
                <w:lang w:val="uk-UA"/>
              </w:rPr>
              <w:t>15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142654"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42654">
              <w:rPr>
                <w:sz w:val="28"/>
                <w:szCs w:val="28"/>
                <w:lang w:val="uk-UA"/>
              </w:rPr>
              <w:t xml:space="preserve">травня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  <w:p w14:paraId="21678A0C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290BC5" w:rsidRPr="00EF4DDC" w14:paraId="26EEAEC8" w14:textId="79480A14" w:rsidTr="00355B62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C50E" w14:textId="77777777" w:rsidR="00290BC5" w:rsidRPr="00EF4DDC" w:rsidRDefault="00290BC5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777B6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14:paraId="2E9861DA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55B62" w:rsidRPr="00EF4DDC" w14:paraId="36EE9537" w14:textId="2B563166" w:rsidTr="00355B62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F1BEE" w14:textId="406A69CC" w:rsidR="00355B62" w:rsidRPr="00DF4CD9" w:rsidRDefault="00355B62" w:rsidP="000A5871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59196" w14:textId="77777777" w:rsidR="00355B62" w:rsidRDefault="00355B62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  <w:p w14:paraId="24D9145A" w14:textId="39FA2726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травня 2021 року 09</w:t>
            </w:r>
            <w:r w:rsidRPr="00EF5AFE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</w:rPr>
              <w:t>30</w:t>
            </w:r>
            <w:r w:rsidRPr="00EF5AFE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355B62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D72E" w14:textId="77777777" w:rsidR="00355B62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  <w:p w14:paraId="13AEA999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2EAD1AAA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009B4549" w14:textId="61D35594" w:rsidR="00355B62" w:rsidRPr="00DF4CD9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B778C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5FBDB119" w14:textId="2C22854D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355B62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AF84C" w14:textId="00B70990" w:rsidR="00355B62" w:rsidRPr="00DF4CD9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3137A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2EAA869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2924712C" w14:textId="1740A032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355B62" w:rsidRPr="00EF4DDC" w14:paraId="657218FF" w14:textId="77777777" w:rsidTr="00355B62">
        <w:trPr>
          <w:trHeight w:val="496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3BEB6" w14:textId="77777777" w:rsidR="00355B62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  <w:p w14:paraId="1EE82176" w14:textId="77777777" w:rsidR="000A5871" w:rsidRDefault="000A5871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  <w:p w14:paraId="4A58816F" w14:textId="77777777" w:rsidR="000A5871" w:rsidRDefault="000A5871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  <w:p w14:paraId="3AB9C09F" w14:textId="36511144" w:rsidR="000A5871" w:rsidRPr="00DF4CD9" w:rsidRDefault="000A5871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4E42D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5124154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522D76F2" w14:textId="77777777" w:rsidR="00355B62" w:rsidRDefault="00355B62" w:rsidP="00355B62">
            <w:pPr>
              <w:ind w:firstLine="0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  <w:p w14:paraId="65333046" w14:textId="77777777" w:rsidR="000A5871" w:rsidRDefault="000A5871" w:rsidP="00355B62">
            <w:pPr>
              <w:ind w:firstLine="0"/>
              <w:jc w:val="left"/>
              <w:rPr>
                <w:b/>
                <w:szCs w:val="28"/>
              </w:rPr>
            </w:pPr>
          </w:p>
          <w:p w14:paraId="031F5E52" w14:textId="2BB94F1F" w:rsidR="00355B62" w:rsidRPr="00355B62" w:rsidRDefault="00355B62" w:rsidP="00355B62">
            <w:pPr>
              <w:ind w:firstLine="0"/>
              <w:jc w:val="left"/>
              <w:rPr>
                <w:szCs w:val="28"/>
              </w:rPr>
            </w:pPr>
          </w:p>
        </w:tc>
      </w:tr>
      <w:tr w:rsidR="00290BC5" w:rsidRPr="00EF4DDC" w14:paraId="32520A08" w14:textId="5710EF9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F349F" w14:textId="77777777" w:rsidR="00290BC5" w:rsidRPr="00EF4DDC" w:rsidRDefault="00290BC5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3EF5E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Долюк Станіслав Юрійович</w:t>
            </w:r>
            <w:r w:rsidR="009F7AEA">
              <w:rPr>
                <w:sz w:val="28"/>
                <w:szCs w:val="28"/>
                <w:lang w:val="uk-UA"/>
              </w:rPr>
              <w:t xml:space="preserve"> </w:t>
            </w:r>
            <w:r w:rsidR="00290BC5" w:rsidRPr="00EA3E27">
              <w:rPr>
                <w:sz w:val="28"/>
                <w:szCs w:val="28"/>
                <w:lang w:val="uk-UA"/>
              </w:rPr>
              <w:t>(044)</w:t>
            </w:r>
            <w:r w:rsidR="00290BC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366-64-84</w:t>
            </w:r>
            <w:r w:rsidR="00290BC5" w:rsidRPr="00EA3E27">
              <w:rPr>
                <w:sz w:val="28"/>
                <w:szCs w:val="28"/>
                <w:lang w:val="uk-UA"/>
              </w:rPr>
              <w:t xml:space="preserve">, </w:t>
            </w:r>
          </w:p>
          <w:p w14:paraId="3BCED392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  <w:p w14:paraId="254E6BF1" w14:textId="4E1FC71E" w:rsidR="00290BC5" w:rsidRPr="001D6B48" w:rsidRDefault="00B96914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</w:rPr>
            </w:pPr>
            <w:r>
              <w:rPr>
                <w:rStyle w:val="a3"/>
                <w:sz w:val="28"/>
                <w:szCs w:val="28"/>
                <w:lang w:val="en-US"/>
              </w:rPr>
              <w:fldChar w:fldCharType="begin"/>
            </w:r>
            <w:r w:rsidRPr="00B96914">
              <w:rPr>
                <w:rStyle w:val="a3"/>
                <w:sz w:val="28"/>
                <w:szCs w:val="28"/>
              </w:rPr>
              <w:instrText xml:space="preserve"> </w:instrText>
            </w:r>
            <w:r>
              <w:rPr>
                <w:rStyle w:val="a3"/>
                <w:sz w:val="28"/>
                <w:szCs w:val="28"/>
                <w:lang w:val="en-US"/>
              </w:rPr>
              <w:instrText>HYPERLINK</w:instrText>
            </w:r>
            <w:r w:rsidRPr="00B96914">
              <w:rPr>
                <w:rStyle w:val="a3"/>
                <w:sz w:val="28"/>
                <w:szCs w:val="28"/>
              </w:rPr>
              <w:instrText xml:space="preserve"> "</w:instrText>
            </w:r>
            <w:r>
              <w:rPr>
                <w:rStyle w:val="a3"/>
                <w:sz w:val="28"/>
                <w:szCs w:val="28"/>
                <w:lang w:val="en-US"/>
              </w:rPr>
              <w:instrText>mailto</w:instrText>
            </w:r>
            <w:r w:rsidRPr="00B96914">
              <w:rPr>
                <w:rStyle w:val="a3"/>
                <w:sz w:val="28"/>
                <w:szCs w:val="28"/>
              </w:rPr>
              <w:instrText>:</w:instrText>
            </w:r>
            <w:r>
              <w:rPr>
                <w:rStyle w:val="a3"/>
                <w:sz w:val="28"/>
                <w:szCs w:val="28"/>
                <w:lang w:val="en-US"/>
              </w:rPr>
              <w:instrText>stanislav</w:instrText>
            </w:r>
            <w:r w:rsidRPr="00B96914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dolyuk</w:instrText>
            </w:r>
            <w:r w:rsidRPr="00B96914">
              <w:rPr>
                <w:rStyle w:val="a3"/>
                <w:sz w:val="28"/>
                <w:szCs w:val="28"/>
              </w:rPr>
              <w:instrText>@</w:instrText>
            </w:r>
            <w:r>
              <w:rPr>
                <w:rStyle w:val="a3"/>
                <w:sz w:val="28"/>
                <w:szCs w:val="28"/>
                <w:lang w:val="en-US"/>
              </w:rPr>
              <w:instrText>kmda</w:instrText>
            </w:r>
            <w:r w:rsidRPr="00B96914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gov</w:instrText>
            </w:r>
            <w:r w:rsidRPr="00B96914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ua</w:instrText>
            </w:r>
            <w:r w:rsidRPr="00B96914">
              <w:rPr>
                <w:rStyle w:val="a3"/>
                <w:sz w:val="28"/>
                <w:szCs w:val="28"/>
              </w:rPr>
              <w:instrText xml:space="preserve">" </w:instrText>
            </w:r>
            <w:r>
              <w:rPr>
                <w:rStyle w:val="a3"/>
                <w:sz w:val="28"/>
                <w:szCs w:val="28"/>
                <w:lang w:val="en-US"/>
              </w:rPr>
              <w:fldChar w:fldCharType="separate"/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stanislav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.</w:t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dolyuk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@</w:t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kmda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.</w:t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gov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.</w:t>
            </w:r>
            <w:proofErr w:type="spellStart"/>
            <w:r w:rsidR="000A5871" w:rsidRPr="00542E74">
              <w:rPr>
                <w:rStyle w:val="a3"/>
                <w:sz w:val="28"/>
                <w:szCs w:val="28"/>
                <w:lang w:val="en-US"/>
              </w:rPr>
              <w:t>ua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  <w:p w14:paraId="089752D2" w14:textId="77777777" w:rsidR="000A5871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14:paraId="02F2A935" w14:textId="4B4185DD" w:rsidR="00355B62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0A5871">
              <w:rPr>
                <w:b/>
                <w:lang w:val="uk-UA"/>
              </w:rPr>
              <w:t>П</w:t>
            </w:r>
            <w:r w:rsidR="00355B62" w:rsidRPr="000A5871">
              <w:rPr>
                <w:b/>
                <w:lang w:val="uk-UA"/>
              </w:rPr>
              <w:t>ро дату і час проведення кожного етапу конкурсу учасники конкурсу будуть повідомлені додатково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290BC5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63D5C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77777777" w:rsidR="00290BC5" w:rsidRPr="008A71FA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5860D6">
              <w:rPr>
                <w:sz w:val="28"/>
                <w:szCs w:val="28"/>
              </w:rPr>
              <w:t>вища</w:t>
            </w:r>
            <w:proofErr w:type="spellEnd"/>
            <w:r w:rsidRPr="005860D6">
              <w:rPr>
                <w:sz w:val="28"/>
                <w:szCs w:val="28"/>
              </w:rPr>
              <w:t xml:space="preserve">, </w:t>
            </w:r>
            <w:proofErr w:type="spellStart"/>
            <w:r w:rsidRPr="005860D6">
              <w:rPr>
                <w:sz w:val="28"/>
                <w:szCs w:val="28"/>
              </w:rPr>
              <w:t>ступінь</w:t>
            </w:r>
            <w:proofErr w:type="spellEnd"/>
            <w:r w:rsidRPr="005860D6">
              <w:rPr>
                <w:sz w:val="28"/>
                <w:szCs w:val="28"/>
              </w:rPr>
              <w:t xml:space="preserve"> </w:t>
            </w:r>
            <w:proofErr w:type="spellStart"/>
            <w:r w:rsidRPr="005860D6">
              <w:rPr>
                <w:sz w:val="28"/>
                <w:szCs w:val="28"/>
              </w:rPr>
              <w:t>освіти</w:t>
            </w:r>
            <w:proofErr w:type="spellEnd"/>
            <w:r w:rsidRPr="005860D6">
              <w:rPr>
                <w:sz w:val="28"/>
                <w:szCs w:val="28"/>
              </w:rPr>
              <w:t xml:space="preserve"> не </w:t>
            </w:r>
            <w:proofErr w:type="spellStart"/>
            <w:r w:rsidRPr="005860D6">
              <w:rPr>
                <w:sz w:val="28"/>
                <w:szCs w:val="28"/>
              </w:rPr>
              <w:t>нижче</w:t>
            </w:r>
            <w:proofErr w:type="spellEnd"/>
            <w:r w:rsidRPr="005860D6">
              <w:rPr>
                <w:sz w:val="28"/>
                <w:szCs w:val="28"/>
              </w:rPr>
              <w:t xml:space="preserve"> бакалавра, </w:t>
            </w:r>
            <w:proofErr w:type="spellStart"/>
            <w:r w:rsidRPr="005860D6">
              <w:rPr>
                <w:sz w:val="28"/>
                <w:szCs w:val="28"/>
              </w:rPr>
              <w:t>молодшого</w:t>
            </w:r>
            <w:proofErr w:type="spellEnd"/>
            <w:r w:rsidRPr="005860D6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EF4DDC" w14:paraId="27C2C17F" w14:textId="0BE3FA71" w:rsidTr="00290BC5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C9EB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8AE4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потребує</w:t>
            </w:r>
            <w:proofErr w:type="spellEnd"/>
          </w:p>
        </w:tc>
      </w:tr>
      <w:tr w:rsidR="00290BC5" w:rsidRPr="00EF4DDC" w14:paraId="2C1086F6" w14:textId="08BE36FC" w:rsidTr="00290BC5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5E79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77777777" w:rsidR="00290BC5" w:rsidRPr="00EF4DDC" w:rsidRDefault="00290BC5" w:rsidP="00871A39">
            <w:pPr>
              <w:pStyle w:val="rvps14"/>
              <w:ind w:right="270"/>
              <w:jc w:val="both"/>
              <w:rPr>
                <w:sz w:val="28"/>
                <w:szCs w:val="28"/>
              </w:rPr>
            </w:pPr>
            <w:r w:rsidRPr="00EF4DDC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77777777" w:rsidR="00290BC5" w:rsidRPr="00EF4DDC" w:rsidRDefault="00290BC5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>
              <w:t xml:space="preserve">   </w:t>
            </w:r>
            <w:hyperlink r:id="rId6" w:tgtFrame="_top" w:history="1">
              <w:r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C6A56" w14:textId="77777777" w:rsidR="00BF43A1" w:rsidRPr="00EF4DDC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5EED" w14:textId="298DE8DD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39595E8E" w14:textId="0E1BA56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9AE76" w14:textId="77777777" w:rsidR="00BF43A1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6E36C" w14:textId="7A14C847" w:rsidR="00BF43A1" w:rsidRPr="00BC41DD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6D71F0">
              <w:rPr>
                <w:sz w:val="28"/>
                <w:szCs w:val="28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43E36" w14:textId="3F25B986" w:rsidR="00BF43A1" w:rsidRPr="006D71F0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6D71F0">
              <w:rPr>
                <w:sz w:val="28"/>
                <w:szCs w:val="28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5CE35F2E" w14:textId="254B0F37" w:rsidR="00BF43A1" w:rsidRPr="006D71F0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6D71F0">
              <w:rPr>
                <w:sz w:val="28"/>
                <w:szCs w:val="28"/>
                <w:lang w:val="uk-UA"/>
              </w:rPr>
              <w:t xml:space="preserve">здатність до </w:t>
            </w:r>
            <w:proofErr w:type="spellStart"/>
            <w:r w:rsidR="00BF43A1" w:rsidRPr="006D71F0">
              <w:rPr>
                <w:sz w:val="28"/>
                <w:szCs w:val="28"/>
                <w:lang w:val="uk-UA"/>
              </w:rPr>
              <w:t>самомотивації</w:t>
            </w:r>
            <w:proofErr w:type="spellEnd"/>
            <w:r w:rsidR="00BF43A1" w:rsidRPr="006D71F0">
              <w:rPr>
                <w:sz w:val="28"/>
                <w:szCs w:val="28"/>
                <w:lang w:val="uk-UA"/>
              </w:rPr>
              <w:t xml:space="preserve"> (самоуправління);</w:t>
            </w:r>
          </w:p>
          <w:p w14:paraId="7F534A61" w14:textId="19C73F14" w:rsidR="00BF43A1" w:rsidRPr="00F01142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D71F0">
              <w:rPr>
                <w:sz w:val="28"/>
                <w:szCs w:val="28"/>
                <w:lang w:val="uk-UA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BF43A1" w:rsidRPr="00EF4DDC" w14:paraId="047A6E0F" w14:textId="400078E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360B" w14:textId="77777777" w:rsidR="00BF43A1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F1046" w14:textId="0BCBB42A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9B1B" w14:textId="1364FFAD" w:rsidR="000A5871" w:rsidRDefault="000A587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10A16" w14:textId="1D4F4A7C" w:rsidR="000A5871" w:rsidRPr="00DF4B97" w:rsidRDefault="000A587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0DDC321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</w:t>
            </w:r>
            <w:r w:rsidRPr="000A5871">
              <w:rPr>
                <w:sz w:val="28"/>
                <w:szCs w:val="28"/>
                <w:lang w:val="uk-UA"/>
              </w:rPr>
              <w:lastRenderedPageBreak/>
              <w:t xml:space="preserve">перевіряти надійність джерел і достовірність  даних та інформації у цифровому середовищі;  </w:t>
            </w:r>
          </w:p>
          <w:p w14:paraId="4A5C3E72" w14:textId="12FA039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584D758D" w:rsid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</w:p>
          <w:p w14:paraId="311EBDC3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574C7">
            <w:pPr>
              <w:ind w:left="18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9D0DDA6" w14:textId="7C09394F" w:rsidR="003574C7" w:rsidRPr="00005EB1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</w:p>
          <w:p w14:paraId="4CDC08A2" w14:textId="08E894E6" w:rsidR="003574C7" w:rsidRDefault="003574C7" w:rsidP="003574C7">
            <w:pPr>
              <w:ind w:left="18" w:firstLine="0"/>
              <w:rPr>
                <w:szCs w:val="28"/>
              </w:rPr>
            </w:pPr>
          </w:p>
        </w:tc>
      </w:tr>
    </w:tbl>
    <w:p w14:paraId="3B17369B" w14:textId="77777777" w:rsidR="00871A39" w:rsidRPr="00BE7CCA" w:rsidRDefault="00871A39" w:rsidP="00871A39">
      <w:pPr>
        <w:pStyle w:val="rvps7"/>
        <w:jc w:val="center"/>
        <w:rPr>
          <w:rStyle w:val="rvts15"/>
          <w:sz w:val="28"/>
          <w:szCs w:val="28"/>
          <w:lang w:val="uk-UA"/>
        </w:rPr>
      </w:pPr>
    </w:p>
    <w:p w14:paraId="7F6822C4" w14:textId="77777777" w:rsidR="00245435" w:rsidRPr="00EF4DDC" w:rsidRDefault="00245435" w:rsidP="00D17FF0">
      <w:pPr>
        <w:pStyle w:val="rvps7"/>
        <w:jc w:val="center"/>
        <w:rPr>
          <w:b/>
          <w:sz w:val="28"/>
          <w:szCs w:val="28"/>
          <w:lang w:val="uk-UA"/>
        </w:rPr>
      </w:pPr>
    </w:p>
    <w:sectPr w:rsidR="00245435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D6B48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61D7"/>
    <w:rsid w:val="002F3EE7"/>
    <w:rsid w:val="00302B63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10C89"/>
    <w:rsid w:val="00512EC6"/>
    <w:rsid w:val="005155AF"/>
    <w:rsid w:val="005270D0"/>
    <w:rsid w:val="005617A9"/>
    <w:rsid w:val="005737A3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71DA"/>
    <w:rsid w:val="006C2738"/>
    <w:rsid w:val="006C49E6"/>
    <w:rsid w:val="006C52F4"/>
    <w:rsid w:val="006D2B31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2B6E"/>
    <w:rsid w:val="009138E4"/>
    <w:rsid w:val="00925840"/>
    <w:rsid w:val="00951639"/>
    <w:rsid w:val="00954107"/>
    <w:rsid w:val="00964169"/>
    <w:rsid w:val="009662C7"/>
    <w:rsid w:val="00972BD7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9691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6FAE"/>
    <w:rsid w:val="00DF0525"/>
    <w:rsid w:val="00DF4CD9"/>
    <w:rsid w:val="00E0532E"/>
    <w:rsid w:val="00E1329E"/>
    <w:rsid w:val="00E43D9E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chartTrackingRefBased/>
  <w15:docId w15:val="{01335796-2D42-4ECE-BAEE-814ABC86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B4B0-0C8F-4E50-9570-93353426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6930</Words>
  <Characters>3951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6</cp:revision>
  <cp:lastPrinted>2021-04-15T06:12:00Z</cp:lastPrinted>
  <dcterms:created xsi:type="dcterms:W3CDTF">2021-04-28T09:56:00Z</dcterms:created>
  <dcterms:modified xsi:type="dcterms:W3CDTF">2021-04-28T12:38:00Z</dcterms:modified>
</cp:coreProperties>
</file>