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A646E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A646E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BA646E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D10EFD" w:rsidRPr="006B3928">
        <w:rPr>
          <w:b/>
          <w:bCs/>
          <w:sz w:val="28"/>
          <w:szCs w:val="28"/>
          <w:lang w:val="uk-UA"/>
        </w:rPr>
        <w:t>сектору з питань мобілізаційної роботи</w:t>
      </w:r>
      <w:r w:rsidRPr="00BA646E">
        <w:rPr>
          <w:u w:val="single"/>
          <w:lang w:val="uk-UA"/>
        </w:rPr>
        <w:t xml:space="preserve"> </w:t>
      </w:r>
      <w:r w:rsidRPr="00BA646E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BA646E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A646E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A646E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7B2EBC" w:rsidRPr="007B2EBC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2EBC" w:rsidRPr="00BA646E" w:rsidRDefault="007B2EBC" w:rsidP="007B2EBC">
            <w:pPr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EBC" w:rsidRPr="0012179C" w:rsidRDefault="007B2EBC" w:rsidP="007B2EBC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17" w:right="14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  <w:r w:rsidRPr="0012179C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завдань у</w:t>
            </w:r>
            <w:r w:rsidRPr="0012179C">
              <w:rPr>
                <w:lang w:val="uk-UA"/>
              </w:rPr>
              <w:t xml:space="preserve"> Сектор</w:t>
            </w:r>
            <w:r>
              <w:rPr>
                <w:lang w:val="uk-UA"/>
              </w:rPr>
              <w:t xml:space="preserve">і </w:t>
            </w:r>
            <w:r w:rsidRPr="0012179C">
              <w:rPr>
                <w:lang w:val="uk-UA"/>
              </w:rPr>
              <w:t>з питань мобілізаційної роботи: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здійснення моніторингу та виконанням посадових обов’язків, правил внутрішнього трудового та службового розпорядку.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0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Виконання заходів з планування мобілізаційної підготовки та мобілізації: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- виконання законів, інших нормативно-правових актів з питань мобілізаційної підготовки та мобілізації;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459"/>
                <w:tab w:val="left" w:pos="601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участь у формуванні </w:t>
            </w:r>
            <w:proofErr w:type="spellStart"/>
            <w:r w:rsidRPr="0012179C">
              <w:rPr>
                <w:lang w:val="uk-UA"/>
              </w:rPr>
              <w:t>проєкту</w:t>
            </w:r>
            <w:proofErr w:type="spellEnd"/>
            <w:r w:rsidRPr="0012179C">
              <w:rPr>
                <w:lang w:val="uk-UA"/>
              </w:rPr>
              <w:t xml:space="preserve"> основних показників мобілізаційного плану Подільського району;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виконанн</w:t>
            </w:r>
            <w:r w:rsidRPr="0012179C">
              <w:rPr>
                <w:lang w:val="uk-UA"/>
              </w:rPr>
              <w:t xml:space="preserve">я розробки </w:t>
            </w:r>
            <w:proofErr w:type="spellStart"/>
            <w:r w:rsidRPr="0012179C">
              <w:rPr>
                <w:lang w:val="uk-UA"/>
              </w:rPr>
              <w:t>проєктів</w:t>
            </w:r>
            <w:proofErr w:type="spellEnd"/>
            <w:r w:rsidRPr="0012179C">
              <w:rPr>
                <w:lang w:val="uk-UA"/>
              </w:rPr>
              <w:t xml:space="preserve"> нормативно-правових актів Подільської районної в місті Києві державної адміністрації з питань мобілізаційної підготовки та мобілізації;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виконанн</w:t>
            </w:r>
            <w:r w:rsidRPr="0012179C">
              <w:rPr>
                <w:lang w:val="uk-UA"/>
              </w:rPr>
              <w:t xml:space="preserve">я розробки </w:t>
            </w:r>
            <w:proofErr w:type="spellStart"/>
            <w:r w:rsidRPr="0012179C">
              <w:rPr>
                <w:lang w:val="uk-UA"/>
              </w:rPr>
              <w:t>оперативно</w:t>
            </w:r>
            <w:proofErr w:type="spellEnd"/>
            <w:r w:rsidRPr="0012179C">
              <w:rPr>
                <w:lang w:val="uk-UA"/>
              </w:rPr>
              <w:t>-мобілізаційних документів та здійснення методичного і організаційного забезпечення переведення Подільської районної в місті Києві державної адміністрації і економіки Подільського району на режим роботи в умовах особливого періоду.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3. Організація та контроль мобілізаційної підготовки та мобілізації.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9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Виконанн</w:t>
            </w:r>
            <w:r w:rsidRPr="0012179C">
              <w:rPr>
                <w:lang w:val="uk-UA"/>
              </w:rPr>
              <w:t>я</w:t>
            </w:r>
            <w:r>
              <w:rPr>
                <w:lang w:val="uk-UA"/>
              </w:rPr>
              <w:t xml:space="preserve"> заходів щодо</w:t>
            </w:r>
            <w:r w:rsidRPr="0012179C">
              <w:rPr>
                <w:lang w:val="uk-UA"/>
              </w:rPr>
              <w:t xml:space="preserve"> мобілізаційно</w:t>
            </w:r>
            <w:r>
              <w:rPr>
                <w:lang w:val="uk-UA"/>
              </w:rPr>
              <w:t>ї</w:t>
            </w:r>
            <w:r w:rsidRPr="0012179C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Pr="0012179C">
              <w:rPr>
                <w:lang w:val="uk-UA"/>
              </w:rPr>
              <w:t xml:space="preserve"> на території Подільського району, стану мобілізаційної готовності підприємств, установ і організацій, які залучаються виконавчим органом Київської міської ради (Київською міською державною адміністрацією) до виконання мобілізаційних завдань (замовлень), за його дорученням;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9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Подання пропозицій щодо: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5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встановлення мобілізаційних завдань (замовлень) підприємствам, установам та організаціям, які розташовані на території району; 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5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а</w:t>
            </w:r>
            <w:r w:rsidRPr="0012179C">
              <w:rPr>
                <w:lang w:val="uk-UA"/>
              </w:rPr>
              <w:t xml:space="preserve"> працівників Подільської районної в місті Києві державної адміністрації, підприємств, установ і організацій, які розташовані на території Району, до дій у разі оголошення мобілізації та організації управління в особливий період;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6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  <w:r w:rsidRPr="0012179C">
              <w:rPr>
                <w:lang w:val="uk-UA"/>
              </w:rPr>
              <w:t xml:space="preserve">  заходів щодо визначення можливості задоволення потреб Збройних Сил України, інших військових формувань, національної економіки та забезпечення життєдіяльності населення району в особливий період.</w:t>
            </w:r>
          </w:p>
          <w:p w:rsidR="007B2EBC" w:rsidRPr="0012179C" w:rsidRDefault="007B2EBC" w:rsidP="007B2EBC">
            <w:pPr>
              <w:pStyle w:val="a5"/>
              <w:numPr>
                <w:ilvl w:val="0"/>
                <w:numId w:val="6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84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виконання</w:t>
            </w:r>
            <w:r w:rsidRPr="0012179C">
              <w:rPr>
                <w:lang w:val="uk-UA"/>
              </w:rPr>
              <w:t xml:space="preserve"> заходів з мобілізаційної підготовки підприємствами, установами та організаціями з метою сталого функціонування господарства району в умовах особливого періоду.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12179C">
              <w:rPr>
                <w:lang w:val="uk-UA"/>
              </w:rPr>
              <w:t xml:space="preserve">. </w:t>
            </w:r>
            <w:r>
              <w:rPr>
                <w:lang w:val="uk-UA"/>
              </w:rPr>
              <w:t>Участь у заходах</w:t>
            </w:r>
            <w:r w:rsidRPr="0012179C">
              <w:rPr>
                <w:lang w:val="uk-UA"/>
              </w:rPr>
              <w:t xml:space="preserve"> разом з Подільським районним  у м. Києві територіальним центром комплектування та соціальної підтримки функціонування системи військового обліку громадян України, організація бронювання військовозобов’язаних на період мобілізації та на воєнний час, забезпечення надання звітності з питань бронювання військовозобов’язаних.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Pr="0012179C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Участь з підготовки </w:t>
            </w:r>
            <w:r w:rsidRPr="0012179C">
              <w:rPr>
                <w:lang w:val="uk-UA"/>
              </w:rPr>
              <w:t>щорічної доповіді про стан мобілізаційної готовності та про стан виконання дострокових і річних програм мобілізаційної підготовки.</w:t>
            </w:r>
          </w:p>
          <w:p w:rsidR="007B2EBC" w:rsidRPr="0012179C" w:rsidRDefault="007B2EBC" w:rsidP="007B2EBC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12179C">
              <w:rPr>
                <w:lang w:val="uk-UA"/>
              </w:rPr>
              <w:t xml:space="preserve">. </w:t>
            </w:r>
            <w:r>
              <w:rPr>
                <w:lang w:val="uk-UA"/>
              </w:rPr>
              <w:t>З</w:t>
            </w:r>
            <w:r w:rsidRPr="0012179C">
              <w:rPr>
                <w:lang w:val="uk-UA"/>
              </w:rPr>
              <w:t>абезпечення режиму секретності при розробці мобілізаційних документів.</w:t>
            </w:r>
          </w:p>
        </w:tc>
      </w:tr>
      <w:tr w:rsidR="00AE55DF" w:rsidRPr="007B2EBC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Посадовий оклад – 5600,00 грн.</w:t>
            </w:r>
          </w:p>
          <w:p w:rsidR="00AE55DF" w:rsidRPr="00BA646E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Надбавки, доплати, премії та компенсації відповідно</w:t>
            </w:r>
            <w:r w:rsidRPr="00BA646E">
              <w:rPr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BA646E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надбавка до посадового окладу за ранг відповідно</w:t>
            </w:r>
            <w:r w:rsidRPr="00BA646E">
              <w:rPr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7B2EBC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ind w:left="128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7B2EBC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A646E" w:rsidRDefault="00F23918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1C0DF3" w:rsidRPr="00BA646E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A646E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7B2EBC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0B5E9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вища, </w:t>
            </w:r>
            <w:r w:rsidRPr="004D2FE3">
              <w:rPr>
                <w:lang w:val="uk-UA"/>
              </w:rPr>
              <w:t>ступінь освіти</w:t>
            </w:r>
            <w:r w:rsidRPr="004D2FE3">
              <w:rPr>
                <w:sz w:val="28"/>
                <w:szCs w:val="28"/>
                <w:lang w:val="uk-UA"/>
              </w:rPr>
              <w:t xml:space="preserve"> </w:t>
            </w: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не нижче </w:t>
            </w:r>
            <w:r w:rsidR="000B5E9E">
              <w:rPr>
                <w:color w:val="000000" w:themeColor="text1"/>
                <w:shd w:val="clear" w:color="auto" w:fill="FFFFFF"/>
                <w:lang w:val="uk-UA"/>
              </w:rPr>
              <w:t>бакалавра, молодшого бакалавра</w:t>
            </w: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A646E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8"/>
                <w:szCs w:val="28"/>
                <w:lang w:val="uk-UA"/>
              </w:rPr>
            </w:pPr>
            <w:r w:rsidRPr="004D2FE3">
              <w:rPr>
                <w:szCs w:val="20"/>
                <w:lang w:val="uk-UA"/>
              </w:rPr>
              <w:t xml:space="preserve">досвід роботи </w:t>
            </w:r>
            <w:r w:rsidR="000B5E9E">
              <w:rPr>
                <w:szCs w:val="20"/>
                <w:lang w:val="uk-UA"/>
              </w:rPr>
              <w:t>не ппотребує</w:t>
            </w:r>
          </w:p>
        </w:tc>
      </w:tr>
      <w:tr w:rsidR="00BA646E" w:rsidRPr="00BA646E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4D2FE3" w:rsidRDefault="00BA646E" w:rsidP="00BA646E">
            <w:pPr>
              <w:pStyle w:val="rvps14"/>
              <w:ind w:right="270"/>
              <w:jc w:val="both"/>
            </w:pPr>
            <w:r w:rsidRPr="004D2FE3">
              <w:rPr>
                <w:rStyle w:val="rvts0"/>
              </w:rPr>
              <w:t>вільне володіння державною мовою</w:t>
            </w:r>
          </w:p>
        </w:tc>
      </w:tr>
      <w:tr w:rsidR="00CB1B64" w:rsidRPr="00BA646E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F23918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A646E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10EFD" w:rsidRPr="007B2EBC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EFD" w:rsidRPr="00BA646E" w:rsidRDefault="00D10EFD" w:rsidP="00D10EFD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2FE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Ефективність координації з іншими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135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175"/>
              </w:tabs>
              <w:ind w:left="0" w:right="34" w:firstLine="3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уміння конструктивного обміну інформацією, узгодження та упорядкування дій;</w:t>
            </w:r>
          </w:p>
          <w:p w:rsidR="00D10EFD" w:rsidRPr="004D2FE3" w:rsidRDefault="00D10EFD" w:rsidP="00D10EF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17" w:right="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3">
              <w:rPr>
                <w:rFonts w:ascii="Times New Roman" w:hAnsi="Times New Roman" w:cs="Times New Roman"/>
                <w:sz w:val="24"/>
                <w:szCs w:val="24"/>
              </w:rPr>
              <w:t>здатність до об'єднання та систематизації спільних зусиль.</w:t>
            </w:r>
          </w:p>
        </w:tc>
      </w:tr>
      <w:tr w:rsidR="00D10EFD" w:rsidRPr="007B2EBC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BA646E" w:rsidRDefault="00D10EFD" w:rsidP="00D10EFD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lang w:val="uk-UA"/>
              </w:rPr>
            </w:pPr>
            <w:r w:rsidRPr="004D2FE3">
              <w:rPr>
                <w:lang w:val="uk-UA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5"/>
              </w:tabs>
              <w:ind w:left="0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34" w:hanging="178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вміння встановлювати причинно-наслідкові зв’язки;</w:t>
            </w:r>
          </w:p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0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D10EFD" w:rsidRPr="007B2EBC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BA646E" w:rsidRDefault="00D10EFD" w:rsidP="00D10EFD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lang w:val="uk-UA"/>
              </w:rPr>
            </w:pPr>
            <w:r w:rsidRPr="004D2FE3">
              <w:rPr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0" w:right="34" w:firstLine="3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34" w:hanging="14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здатність до </w:t>
            </w:r>
            <w:proofErr w:type="spellStart"/>
            <w:r w:rsidRPr="004D2FE3">
              <w:rPr>
                <w:lang w:val="uk-UA"/>
              </w:rPr>
              <w:t>самомотивації</w:t>
            </w:r>
            <w:proofErr w:type="spellEnd"/>
            <w:r w:rsidRPr="004D2FE3">
              <w:rPr>
                <w:lang w:val="uk-UA"/>
              </w:rPr>
              <w:t xml:space="preserve"> (самоуправління);</w:t>
            </w:r>
          </w:p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593"/>
                <w:tab w:val="left" w:pos="3212"/>
                <w:tab w:val="left" w:pos="4664"/>
                <w:tab w:val="left" w:pos="5939"/>
              </w:tabs>
              <w:ind w:left="34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D10EFD" w:rsidRPr="007B2EBC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BA646E" w:rsidRDefault="00D10EFD" w:rsidP="00D10EFD">
            <w:pPr>
              <w:spacing w:after="20"/>
              <w:ind w:firstLine="127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right="106"/>
              <w:rPr>
                <w:lang w:val="uk-UA"/>
              </w:rPr>
            </w:pPr>
            <w:r w:rsidRPr="004D2FE3">
              <w:rPr>
                <w:lang w:val="uk-UA"/>
              </w:rPr>
              <w:t>Уважність до деталей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  <w:tab w:val="left" w:pos="3210"/>
                <w:tab w:val="left" w:pos="4332"/>
                <w:tab w:val="left" w:pos="5770"/>
              </w:tabs>
              <w:ind w:left="0" w:right="34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здатний помічати окремі елементи та акцентувати увагу на деталях у своїй роботі;</w:t>
            </w:r>
          </w:p>
          <w:p w:rsidR="00D10EFD" w:rsidRPr="004D2FE3" w:rsidRDefault="00D10EFD" w:rsidP="00D10EF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34" w:hanging="178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здатний враховувати деталі при прийнятті рішень.</w:t>
            </w:r>
          </w:p>
        </w:tc>
      </w:tr>
      <w:tr w:rsidR="00D10EFD" w:rsidRPr="007B2EBC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BA646E" w:rsidRDefault="00D10EFD" w:rsidP="00D10EFD">
            <w:pPr>
              <w:spacing w:after="20"/>
              <w:ind w:firstLine="127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rPr>
                <w:lang w:val="uk-UA"/>
              </w:rPr>
            </w:pPr>
            <w:r w:rsidRPr="004D2FE3">
              <w:rPr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pStyle w:val="a3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right="34"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2F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D10EFD" w:rsidRPr="004D2FE3" w:rsidRDefault="00D10EFD" w:rsidP="00D10EFD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  <w:lang w:val="uk-UA"/>
              </w:rPr>
            </w:pPr>
            <w:r w:rsidRPr="004D2FE3">
              <w:rPr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D10EFD" w:rsidRPr="004D2FE3" w:rsidRDefault="00D10EFD" w:rsidP="00D10EFD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  <w:lang w:val="uk-UA"/>
              </w:rPr>
            </w:pPr>
            <w:r w:rsidRPr="004D2FE3">
              <w:rPr>
                <w:highlight w:val="white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CB1B64" w:rsidRPr="00BA646E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10EFD" w:rsidRPr="00BA646E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EFD" w:rsidRPr="00BA646E" w:rsidRDefault="00D10EFD" w:rsidP="00D10EFD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EFD" w:rsidRPr="004D2FE3" w:rsidRDefault="00D10EFD" w:rsidP="00D10EFD">
            <w:pPr>
              <w:spacing w:after="20"/>
              <w:ind w:left="120"/>
              <w:rPr>
                <w:lang w:val="uk-UA"/>
              </w:rPr>
            </w:pPr>
            <w:r w:rsidRPr="004D2FE3">
              <w:rPr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EFD" w:rsidRPr="004D2FE3" w:rsidRDefault="00D10EFD" w:rsidP="00D10EF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Знання:</w:t>
            </w:r>
          </w:p>
          <w:p w:rsidR="00D10EFD" w:rsidRPr="004D2FE3" w:rsidRDefault="00D10EFD" w:rsidP="00D10EF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Конституції України;</w:t>
            </w:r>
          </w:p>
          <w:p w:rsidR="00D10EFD" w:rsidRPr="004D2FE3" w:rsidRDefault="00D10EFD" w:rsidP="00D10EF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державну службу»;</w:t>
            </w:r>
          </w:p>
          <w:p w:rsidR="00D10EFD" w:rsidRPr="004D2FE3" w:rsidRDefault="00D10EFD" w:rsidP="00D10EF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запобігання корупції»</w:t>
            </w:r>
          </w:p>
          <w:p w:rsidR="00D10EFD" w:rsidRPr="004D2FE3" w:rsidRDefault="00D10EFD" w:rsidP="00D10EF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та іншого законодавства</w:t>
            </w:r>
          </w:p>
        </w:tc>
      </w:tr>
      <w:tr w:rsidR="00D10EFD" w:rsidRPr="007B2EBC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BA646E" w:rsidRDefault="00D10EFD" w:rsidP="00D10EFD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spacing w:after="20"/>
              <w:ind w:left="118"/>
              <w:rPr>
                <w:lang w:val="uk-UA"/>
              </w:rPr>
            </w:pPr>
            <w:r w:rsidRPr="004D2FE3">
              <w:rPr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EFD" w:rsidRPr="004D2FE3" w:rsidRDefault="00D10EFD" w:rsidP="00D10EFD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Знання:</w:t>
            </w:r>
          </w:p>
          <w:p w:rsidR="00D10EFD" w:rsidRPr="004D2FE3" w:rsidRDefault="00D10EFD" w:rsidP="00D10EF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мобілізаційну підготовку та мобілізацію»; Закону України «Про оборону України»;</w:t>
            </w:r>
          </w:p>
          <w:p w:rsidR="00D10EFD" w:rsidRPr="004D2FE3" w:rsidRDefault="00D10EFD" w:rsidP="00D10EF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військовий обов’язок і військову службу»; Закону України «Про державну таємницю»;</w:t>
            </w:r>
          </w:p>
          <w:p w:rsidR="00D10EFD" w:rsidRPr="004D2FE3" w:rsidRDefault="00D10EFD" w:rsidP="00D10EF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Постанови Кабінету Міністрів України від 27.04.2006  № 587 “Про затвердження Типового положення про мобілізаційний підрозділ органу державної влади, іншого державного органу”;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військовозобов’язаних»;</w:t>
            </w:r>
          </w:p>
          <w:p w:rsidR="00D10EFD" w:rsidRPr="004D2FE3" w:rsidRDefault="00D10EFD" w:rsidP="00D10EF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Постанови Кабінету Міністрів України від 28.12.2000 № 1921 «Про затвердження Положення про військово-транспортний обов’язок».</w:t>
            </w:r>
          </w:p>
        </w:tc>
      </w:tr>
    </w:tbl>
    <w:p w:rsidR="00BE0B0A" w:rsidRPr="00BA646E" w:rsidRDefault="00BE0B0A" w:rsidP="00BE0B0A">
      <w:pPr>
        <w:rPr>
          <w:lang w:val="uk-UA"/>
        </w:rPr>
      </w:pPr>
    </w:p>
    <w:p w:rsidR="00BE0B0A" w:rsidRPr="00BA646E" w:rsidRDefault="00BE0B0A" w:rsidP="00BE0B0A">
      <w:pPr>
        <w:rPr>
          <w:lang w:val="uk-UA"/>
        </w:rPr>
      </w:pPr>
    </w:p>
    <w:p w:rsidR="00986785" w:rsidRPr="00BA646E" w:rsidRDefault="00986785">
      <w:pPr>
        <w:rPr>
          <w:lang w:val="uk-UA"/>
        </w:rPr>
      </w:pPr>
      <w:bookmarkStart w:id="1" w:name="_GoBack"/>
      <w:bookmarkEnd w:id="1"/>
    </w:p>
    <w:sectPr w:rsidR="00986785" w:rsidRPr="00BA646E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5C8"/>
    <w:multiLevelType w:val="hybridMultilevel"/>
    <w:tmpl w:val="3F5C3B06"/>
    <w:lvl w:ilvl="0" w:tplc="65B683FE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3E05EA"/>
    <w:multiLevelType w:val="hybridMultilevel"/>
    <w:tmpl w:val="66204AC0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2BF"/>
    <w:multiLevelType w:val="hybridMultilevel"/>
    <w:tmpl w:val="EE282A9A"/>
    <w:lvl w:ilvl="0" w:tplc="28F46EBE">
      <w:start w:val="1"/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6" w15:restartNumberingAfterBreak="0">
    <w:nsid w:val="6B8C2D1E"/>
    <w:multiLevelType w:val="hybridMultilevel"/>
    <w:tmpl w:val="24D6933A"/>
    <w:lvl w:ilvl="0" w:tplc="2F123492">
      <w:start w:val="1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C9A7845"/>
    <w:multiLevelType w:val="hybridMultilevel"/>
    <w:tmpl w:val="183AB14C"/>
    <w:lvl w:ilvl="0" w:tplc="67BAB4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FC20C95"/>
    <w:multiLevelType w:val="hybridMultilevel"/>
    <w:tmpl w:val="FB185FCE"/>
    <w:lvl w:ilvl="0" w:tplc="098E072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C0DF3"/>
    <w:rsid w:val="001E61AB"/>
    <w:rsid w:val="00320810"/>
    <w:rsid w:val="004665D5"/>
    <w:rsid w:val="007B2EBC"/>
    <w:rsid w:val="0081592B"/>
    <w:rsid w:val="00986785"/>
    <w:rsid w:val="00AD7AA3"/>
    <w:rsid w:val="00AE55DF"/>
    <w:rsid w:val="00B156A1"/>
    <w:rsid w:val="00B4062D"/>
    <w:rsid w:val="00BA646E"/>
    <w:rsid w:val="00BE0B0A"/>
    <w:rsid w:val="00CB1B64"/>
    <w:rsid w:val="00D10EFD"/>
    <w:rsid w:val="00EA1053"/>
    <w:rsid w:val="00F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character" w:customStyle="1" w:styleId="a6">
    <w:name w:val="Другое_"/>
    <w:basedOn w:val="a0"/>
    <w:link w:val="a7"/>
    <w:rsid w:val="00D10EFD"/>
  </w:style>
  <w:style w:type="paragraph" w:customStyle="1" w:styleId="a7">
    <w:name w:val="Другое"/>
    <w:basedOn w:val="a"/>
    <w:link w:val="a6"/>
    <w:rsid w:val="00D10EFD"/>
    <w:pPr>
      <w:widowControl w:val="0"/>
      <w:ind w:firstLine="20"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15</cp:revision>
  <dcterms:created xsi:type="dcterms:W3CDTF">2022-09-20T15:07:00Z</dcterms:created>
  <dcterms:modified xsi:type="dcterms:W3CDTF">2022-10-17T07:57:00Z</dcterms:modified>
</cp:coreProperties>
</file>