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0" w:type="dxa"/>
        <w:tblCellMar>
          <w:left w:w="0" w:type="dxa"/>
          <w:right w:w="0" w:type="dxa"/>
        </w:tblCellMar>
        <w:tblLook w:val="04A0"/>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Pr="00326AAC" w:rsidRDefault="005318CE" w:rsidP="00A2304A">
      <w:pPr>
        <w:jc w:val="center"/>
        <w:rPr>
          <w:b/>
          <w:sz w:val="28"/>
          <w:szCs w:val="28"/>
          <w:lang w:val="uk-UA" w:eastAsia="ru-RU"/>
        </w:rPr>
      </w:pPr>
      <w:r w:rsidRPr="00326AAC">
        <w:rPr>
          <w:b/>
          <w:sz w:val="28"/>
          <w:szCs w:val="28"/>
          <w:lang w:val="uk-UA" w:eastAsia="ru-RU"/>
        </w:rPr>
        <w:t xml:space="preserve">КВАЛІФІКАЦІЙНІ </w:t>
      </w:r>
      <w:r w:rsidR="000E0FDE" w:rsidRPr="00326AAC">
        <w:rPr>
          <w:b/>
          <w:sz w:val="28"/>
          <w:szCs w:val="28"/>
          <w:lang w:val="uk-UA" w:eastAsia="ru-RU"/>
        </w:rPr>
        <w:t>ВИМОГИ</w:t>
      </w:r>
    </w:p>
    <w:p w:rsidR="00A2304A" w:rsidRPr="00326AAC" w:rsidRDefault="000E0FDE" w:rsidP="002B0C36">
      <w:pPr>
        <w:jc w:val="center"/>
        <w:rPr>
          <w:b/>
          <w:sz w:val="28"/>
          <w:szCs w:val="28"/>
          <w:lang w:val="uk-UA" w:eastAsia="ru-RU"/>
        </w:rPr>
      </w:pPr>
      <w:r w:rsidRPr="00326AAC">
        <w:rPr>
          <w:b/>
          <w:sz w:val="28"/>
          <w:szCs w:val="28"/>
          <w:lang w:val="uk-UA" w:eastAsia="ru-RU"/>
        </w:rPr>
        <w:t>до</w:t>
      </w:r>
      <w:r w:rsidR="002B0C36" w:rsidRPr="00326AAC">
        <w:rPr>
          <w:b/>
          <w:sz w:val="28"/>
          <w:szCs w:val="28"/>
          <w:lang w:val="uk-UA" w:eastAsia="ru-RU"/>
        </w:rPr>
        <w:t xml:space="preserve"> вакантн</w:t>
      </w:r>
      <w:r w:rsidR="005E1443" w:rsidRPr="00326AAC">
        <w:rPr>
          <w:b/>
          <w:sz w:val="28"/>
          <w:szCs w:val="28"/>
          <w:lang w:val="uk-UA" w:eastAsia="ru-RU"/>
        </w:rPr>
        <w:t>ої</w:t>
      </w:r>
      <w:r w:rsidR="00436228" w:rsidRPr="00326AAC">
        <w:rPr>
          <w:b/>
          <w:sz w:val="28"/>
          <w:szCs w:val="28"/>
          <w:lang w:val="uk-UA" w:eastAsia="ru-RU"/>
        </w:rPr>
        <w:t xml:space="preserve"> посад</w:t>
      </w:r>
      <w:r w:rsidR="005E1443" w:rsidRPr="00326AAC">
        <w:rPr>
          <w:b/>
          <w:sz w:val="28"/>
          <w:szCs w:val="28"/>
          <w:lang w:val="uk-UA" w:eastAsia="ru-RU"/>
        </w:rPr>
        <w:t>и</w:t>
      </w:r>
      <w:r w:rsidRPr="00326AAC">
        <w:rPr>
          <w:b/>
          <w:sz w:val="28"/>
          <w:szCs w:val="28"/>
          <w:lang w:val="uk-UA" w:eastAsia="ru-RU"/>
        </w:rPr>
        <w:t xml:space="preserve"> </w:t>
      </w:r>
      <w:r w:rsidR="00343B36">
        <w:rPr>
          <w:b/>
          <w:sz w:val="28"/>
          <w:szCs w:val="28"/>
          <w:lang w:val="uk-UA" w:eastAsia="ru-RU"/>
        </w:rPr>
        <w:t>завідувача сектору-головного бухгалтера сектору бухгалтерського обліку та звітності</w:t>
      </w:r>
      <w:r w:rsidR="005E1443" w:rsidRPr="00326AAC">
        <w:rPr>
          <w:b/>
          <w:sz w:val="28"/>
          <w:szCs w:val="28"/>
          <w:lang w:val="uk-UA" w:eastAsia="ru-RU"/>
        </w:rPr>
        <w:t xml:space="preserve"> Служби у справах дітей та сім’ї </w:t>
      </w:r>
      <w:r w:rsidR="002B0C36" w:rsidRPr="00326AAC">
        <w:rPr>
          <w:b/>
          <w:sz w:val="28"/>
          <w:szCs w:val="28"/>
          <w:lang w:val="uk-UA" w:eastAsia="ru-RU"/>
        </w:rPr>
        <w:t>Подільської районної в місті Києві державної адміністрації (категорія «</w:t>
      </w:r>
      <w:r w:rsidR="00343B36">
        <w:rPr>
          <w:b/>
          <w:sz w:val="28"/>
          <w:szCs w:val="28"/>
          <w:lang w:val="uk-UA" w:eastAsia="ru-RU"/>
        </w:rPr>
        <w:t>Б</w:t>
      </w:r>
      <w:r w:rsidR="002B0C36" w:rsidRPr="00326AAC">
        <w:rPr>
          <w:b/>
          <w:sz w:val="28"/>
          <w:szCs w:val="28"/>
          <w:lang w:val="uk-UA" w:eastAsia="ru-RU"/>
        </w:rPr>
        <w:t>»)</w:t>
      </w:r>
    </w:p>
    <w:p w:rsidR="00A2304A" w:rsidRPr="00326AAC" w:rsidRDefault="00A2304A" w:rsidP="00A2304A">
      <w:pPr>
        <w:jc w:val="center"/>
        <w:rPr>
          <w:sz w:val="28"/>
          <w:szCs w:val="28"/>
          <w:lang w:val="uk-UA" w:eastAsia="ru-RU"/>
        </w:rPr>
      </w:pPr>
      <w:bookmarkStart w:id="1" w:name="n196"/>
      <w:bookmarkEnd w:id="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849"/>
        <w:gridCol w:w="6207"/>
      </w:tblGrid>
      <w:tr w:rsidR="002B0C36" w:rsidRPr="00326AAC" w:rsidTr="0009649B">
        <w:trPr>
          <w:trHeight w:val="418"/>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jc w:val="center"/>
              <w:rPr>
                <w:b/>
                <w:sz w:val="28"/>
                <w:szCs w:val="28"/>
                <w:lang w:val="uk-UA" w:eastAsia="uk-UA"/>
              </w:rPr>
            </w:pPr>
            <w:r w:rsidRPr="00326AAC">
              <w:rPr>
                <w:b/>
                <w:sz w:val="28"/>
                <w:szCs w:val="28"/>
                <w:lang w:val="uk-UA" w:eastAsia="uk-UA"/>
              </w:rPr>
              <w:t>Загальні умови</w:t>
            </w:r>
          </w:p>
        </w:tc>
      </w:tr>
      <w:tr w:rsidR="002B0C36" w:rsidRPr="00343B36" w:rsidTr="002336DA">
        <w:trPr>
          <w:trHeight w:val="4228"/>
        </w:trPr>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09649B">
            <w:pPr>
              <w:ind w:right="126"/>
              <w:jc w:val="center"/>
              <w:rPr>
                <w:sz w:val="28"/>
                <w:szCs w:val="28"/>
                <w:lang w:val="uk-UA" w:eastAsia="uk-UA"/>
              </w:rPr>
            </w:pPr>
            <w:r w:rsidRPr="00326AAC">
              <w:rPr>
                <w:sz w:val="28"/>
                <w:szCs w:val="28"/>
                <w:lang w:val="uk-UA" w:eastAsia="uk-UA"/>
              </w:rPr>
              <w:t>Посадові обов’язки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3B36" w:rsidRPr="00343B36" w:rsidRDefault="00343B36" w:rsidP="00343B36">
            <w:pPr>
              <w:jc w:val="both"/>
              <w:rPr>
                <w:sz w:val="28"/>
                <w:szCs w:val="28"/>
                <w:lang w:val="uk-UA" w:eastAsia="uk-UA"/>
              </w:rPr>
            </w:pPr>
            <w:r w:rsidRPr="00343B36">
              <w:rPr>
                <w:sz w:val="28"/>
                <w:szCs w:val="28"/>
                <w:lang w:val="uk-UA" w:eastAsia="uk-UA"/>
              </w:rPr>
              <w:t>1. Організація обліку грошових коштів, товарно-матеріальних цінностей і основних засобів, своєчасне відображення на рахунках бухгалтерського обліку операцій, пов’язаних з їх рухом;</w:t>
            </w:r>
          </w:p>
          <w:p w:rsidR="00343B36" w:rsidRPr="00343B36" w:rsidRDefault="00343B36" w:rsidP="00343B36">
            <w:pPr>
              <w:jc w:val="both"/>
              <w:rPr>
                <w:sz w:val="28"/>
                <w:szCs w:val="28"/>
                <w:lang w:val="uk-UA" w:eastAsia="uk-UA"/>
              </w:rPr>
            </w:pPr>
            <w:r w:rsidRPr="00343B36">
              <w:rPr>
                <w:sz w:val="28"/>
                <w:szCs w:val="28"/>
                <w:lang w:val="uk-UA" w:eastAsia="uk-UA"/>
              </w:rPr>
              <w:t>2. Складання розрахунків, бюджетних запитів, паспортів бюджетних програм, штатних розписів, кошторисів витрат на утримання Служби, довідок про зміни до кошторисів та планів асигнувань, забезпечення організації та контролю виконання кошторису видатків на утримання Служби;</w:t>
            </w:r>
          </w:p>
          <w:p w:rsidR="00343B36" w:rsidRPr="00343B36" w:rsidRDefault="00343B36" w:rsidP="00343B36">
            <w:pPr>
              <w:jc w:val="both"/>
              <w:rPr>
                <w:sz w:val="28"/>
                <w:szCs w:val="28"/>
                <w:lang w:val="uk-UA" w:eastAsia="uk-UA"/>
              </w:rPr>
            </w:pPr>
            <w:r w:rsidRPr="00343B36">
              <w:rPr>
                <w:sz w:val="28"/>
                <w:szCs w:val="28"/>
                <w:lang w:val="uk-UA" w:eastAsia="uk-UA"/>
              </w:rPr>
              <w:t>3. Забезпечення нарахування заробітної плати та інших соціальних виплат, передбачених законодавством працівникам Служби, згідно отриманих розпоряджень Подільської районної в місті Києві державної адміністрації, наказів по Службі, табелів обліку робочого часу, листків непрацездатності та інших документів. Забезпечення складання відомостей на заробітну плату, аванс та інші виплати передбачені законодавством для працівників Служби. Ведення особових карток працівників по нарахованій заробітній платі. Забезпечення повного і достовірного відображення обліку видатків на заробітну плату та нарахування  на заробітну плату;</w:t>
            </w:r>
          </w:p>
          <w:p w:rsidR="00343B36" w:rsidRPr="00343B36" w:rsidRDefault="00343B36" w:rsidP="00343B36">
            <w:pPr>
              <w:jc w:val="both"/>
              <w:rPr>
                <w:sz w:val="28"/>
                <w:szCs w:val="28"/>
                <w:lang w:val="uk-UA" w:eastAsia="uk-UA"/>
              </w:rPr>
            </w:pPr>
            <w:r w:rsidRPr="00343B36">
              <w:rPr>
                <w:sz w:val="28"/>
                <w:szCs w:val="28"/>
                <w:lang w:val="uk-UA" w:eastAsia="uk-UA"/>
              </w:rPr>
              <w:t>4. Забезпечення формування штатних розписів та тарифікаційних списків в програмному модулі «Структура заробітної плати в рамках  єдиної інформаційної системи управління бюджетом міста Києва 1С «Підприємство»;</w:t>
            </w:r>
          </w:p>
          <w:p w:rsidR="00343B36" w:rsidRPr="00343B36" w:rsidRDefault="00343B36" w:rsidP="00343B36">
            <w:pPr>
              <w:jc w:val="both"/>
              <w:rPr>
                <w:sz w:val="28"/>
                <w:szCs w:val="28"/>
                <w:lang w:val="uk-UA" w:eastAsia="uk-UA"/>
              </w:rPr>
            </w:pPr>
            <w:r w:rsidRPr="00343B36">
              <w:rPr>
                <w:sz w:val="28"/>
                <w:szCs w:val="28"/>
                <w:lang w:val="uk-UA" w:eastAsia="uk-UA"/>
              </w:rPr>
              <w:t>5. Робота в системі дистанційного обслуговування клієнтів через програмно-технічний комплекс «Клієнт Казначейства-Казначейство»;</w:t>
            </w:r>
          </w:p>
          <w:p w:rsidR="00343B36" w:rsidRPr="00343B36" w:rsidRDefault="00343B36" w:rsidP="00343B36">
            <w:pPr>
              <w:jc w:val="both"/>
              <w:rPr>
                <w:sz w:val="28"/>
                <w:szCs w:val="28"/>
                <w:lang w:val="uk-UA" w:eastAsia="uk-UA"/>
              </w:rPr>
            </w:pPr>
            <w:r w:rsidRPr="00343B36">
              <w:rPr>
                <w:sz w:val="28"/>
                <w:szCs w:val="28"/>
                <w:lang w:val="uk-UA" w:eastAsia="uk-UA"/>
              </w:rPr>
              <w:t>6. Робота в Єдиній інформаційній системі управління бюджетом (ЄІСУБ);</w:t>
            </w:r>
          </w:p>
          <w:p w:rsidR="00343B36" w:rsidRPr="00343B36" w:rsidRDefault="00343B36" w:rsidP="00343B36">
            <w:pPr>
              <w:jc w:val="both"/>
              <w:rPr>
                <w:sz w:val="28"/>
                <w:szCs w:val="28"/>
                <w:lang w:val="uk-UA" w:eastAsia="uk-UA"/>
              </w:rPr>
            </w:pPr>
            <w:r w:rsidRPr="00343B36">
              <w:rPr>
                <w:sz w:val="28"/>
                <w:szCs w:val="28"/>
                <w:lang w:val="uk-UA" w:eastAsia="uk-UA"/>
              </w:rPr>
              <w:t xml:space="preserve">7. Ведення книги журнал – головна, меморіальних ордерів, ведення картки аналітичного обліку отриманих асигнувань, касових та фактичних </w:t>
            </w:r>
            <w:r w:rsidRPr="00343B36">
              <w:rPr>
                <w:sz w:val="28"/>
                <w:szCs w:val="28"/>
                <w:lang w:val="uk-UA" w:eastAsia="uk-UA"/>
              </w:rPr>
              <w:lastRenderedPageBreak/>
              <w:t>випадків Служби за коштами місцевого бюджету;</w:t>
            </w:r>
          </w:p>
          <w:p w:rsidR="00343B36" w:rsidRPr="00343B36" w:rsidRDefault="00343B36" w:rsidP="00343B36">
            <w:pPr>
              <w:jc w:val="both"/>
              <w:rPr>
                <w:sz w:val="28"/>
                <w:szCs w:val="28"/>
                <w:lang w:val="uk-UA" w:eastAsia="uk-UA"/>
              </w:rPr>
            </w:pPr>
            <w:r w:rsidRPr="00343B36">
              <w:rPr>
                <w:sz w:val="28"/>
                <w:szCs w:val="28"/>
                <w:lang w:val="uk-UA" w:eastAsia="uk-UA"/>
              </w:rPr>
              <w:t>8. Забезпечення складання на основі даних бухгалтерського обліку місячної, квартальної та річної фінансової звітності, підписання та подання її в установлені терміни до Управління Державної казначейської служби у Подільському районі м. Києва, фінансового управління, ДФСУ, Управління статистики та до інших установ;</w:t>
            </w:r>
          </w:p>
          <w:p w:rsidR="00343B36" w:rsidRPr="00343B36" w:rsidRDefault="00343B36" w:rsidP="00343B36">
            <w:pPr>
              <w:jc w:val="both"/>
              <w:rPr>
                <w:sz w:val="28"/>
                <w:szCs w:val="28"/>
                <w:lang w:val="uk-UA" w:eastAsia="uk-UA"/>
              </w:rPr>
            </w:pPr>
            <w:r w:rsidRPr="00343B36">
              <w:rPr>
                <w:sz w:val="28"/>
                <w:szCs w:val="28"/>
                <w:lang w:val="uk-UA" w:eastAsia="uk-UA"/>
              </w:rPr>
              <w:t>9. Здійснення контролю за веденням касових операцій, витрачання фонду оплати праці, проведення розрахунків відповідно до договірних зобов’язань;</w:t>
            </w:r>
          </w:p>
          <w:p w:rsidR="002B0C36" w:rsidRPr="00326AAC" w:rsidRDefault="00343B36" w:rsidP="00343B36">
            <w:pPr>
              <w:ind w:left="96"/>
              <w:jc w:val="both"/>
              <w:rPr>
                <w:noProof/>
                <w:color w:val="FF0000"/>
                <w:sz w:val="28"/>
                <w:szCs w:val="28"/>
                <w:lang w:val="uk-UA" w:eastAsia="ru-RU"/>
              </w:rPr>
            </w:pPr>
            <w:r w:rsidRPr="00343B36">
              <w:rPr>
                <w:sz w:val="28"/>
                <w:szCs w:val="28"/>
                <w:lang w:val="uk-UA" w:eastAsia="uk-UA"/>
              </w:rPr>
              <w:t>10. Організація роботи з підготовки пропозицій щодо визначення облікової політики установи, внесення змін до вибраної облікової політики.</w:t>
            </w:r>
            <w:r w:rsidRPr="00F664E2">
              <w:rPr>
                <w:sz w:val="26"/>
                <w:szCs w:val="26"/>
                <w:lang w:val="uk-UA" w:eastAsia="uk-UA"/>
              </w:rPr>
              <w:t xml:space="preserve">  </w:t>
            </w:r>
          </w:p>
        </w:tc>
      </w:tr>
      <w:tr w:rsidR="002B0C36" w:rsidRPr="00343B36"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E21D92">
            <w:pPr>
              <w:ind w:left="142" w:right="126"/>
              <w:jc w:val="center"/>
              <w:rPr>
                <w:sz w:val="28"/>
                <w:szCs w:val="28"/>
                <w:lang w:val="uk-UA" w:eastAsia="uk-UA"/>
              </w:rPr>
            </w:pPr>
            <w:r w:rsidRPr="00326AAC">
              <w:rPr>
                <w:sz w:val="28"/>
                <w:szCs w:val="28"/>
                <w:lang w:val="uk-UA" w:eastAsia="uk-UA"/>
              </w:rPr>
              <w:lastRenderedPageBreak/>
              <w:t xml:space="preserve">Прізвище, ім’я та по батькові, номер телефону та адреса електронної пошти особи, яка надає додаткову інформацію з питань проведення </w:t>
            </w:r>
            <w:r w:rsidR="00E21D92" w:rsidRPr="00326AAC">
              <w:rPr>
                <w:sz w:val="28"/>
                <w:szCs w:val="28"/>
                <w:lang w:val="uk-UA" w:eastAsia="uk-UA"/>
              </w:rPr>
              <w:t>підбору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E21D92" w:rsidP="006537B2">
            <w:pPr>
              <w:ind w:left="307" w:right="128"/>
              <w:rPr>
                <w:sz w:val="28"/>
                <w:szCs w:val="28"/>
                <w:lang w:val="uk-UA" w:eastAsia="ru-RU"/>
              </w:rPr>
            </w:pPr>
            <w:r w:rsidRPr="00326AAC">
              <w:rPr>
                <w:sz w:val="28"/>
                <w:szCs w:val="28"/>
                <w:lang w:val="uk-UA" w:eastAsia="ru-RU"/>
              </w:rPr>
              <w:t>Кравченко Тетяна Анатоліївна</w:t>
            </w:r>
          </w:p>
          <w:p w:rsidR="002B0C36" w:rsidRPr="00326AAC" w:rsidRDefault="002B0C36" w:rsidP="006537B2">
            <w:pPr>
              <w:ind w:left="307" w:right="128"/>
              <w:rPr>
                <w:sz w:val="28"/>
                <w:szCs w:val="28"/>
                <w:lang w:val="uk-UA" w:eastAsia="ru-RU"/>
              </w:rPr>
            </w:pPr>
            <w:r w:rsidRPr="00326AAC">
              <w:rPr>
                <w:sz w:val="28"/>
                <w:szCs w:val="28"/>
                <w:lang w:val="uk-UA" w:eastAsia="ru-RU"/>
              </w:rPr>
              <w:t>(0</w:t>
            </w:r>
            <w:r w:rsidR="00E21D92" w:rsidRPr="00326AAC">
              <w:rPr>
                <w:sz w:val="28"/>
                <w:szCs w:val="28"/>
                <w:lang w:val="uk-UA" w:eastAsia="ru-RU"/>
              </w:rPr>
              <w:t>44</w:t>
            </w:r>
            <w:r w:rsidRPr="00326AAC">
              <w:rPr>
                <w:sz w:val="28"/>
                <w:szCs w:val="28"/>
                <w:lang w:val="uk-UA" w:eastAsia="ru-RU"/>
              </w:rPr>
              <w:t xml:space="preserve">) </w:t>
            </w:r>
            <w:r w:rsidR="00E21D92" w:rsidRPr="00326AAC">
              <w:rPr>
                <w:sz w:val="28"/>
                <w:szCs w:val="28"/>
                <w:lang w:val="uk-UA" w:eastAsia="ru-RU"/>
              </w:rPr>
              <w:t>425 00 18</w:t>
            </w:r>
          </w:p>
          <w:p w:rsidR="00E21D92" w:rsidRPr="00326AAC" w:rsidRDefault="00E21D92" w:rsidP="006537B2">
            <w:pPr>
              <w:pStyle w:val="a6"/>
              <w:ind w:left="0"/>
              <w:rPr>
                <w:i/>
                <w:sz w:val="28"/>
                <w:szCs w:val="28"/>
                <w:lang w:val="ru-RU"/>
              </w:rPr>
            </w:pPr>
            <w:r w:rsidRPr="00326AAC">
              <w:rPr>
                <w:i/>
                <w:sz w:val="28"/>
                <w:szCs w:val="28"/>
                <w:lang w:val="uk-UA"/>
              </w:rPr>
              <w:t xml:space="preserve">      </w:t>
            </w:r>
            <w:proofErr w:type="spellStart"/>
            <w:r w:rsidRPr="00326AAC">
              <w:rPr>
                <w:i/>
                <w:sz w:val="28"/>
                <w:szCs w:val="28"/>
              </w:rPr>
              <w:t>podilssd</w:t>
            </w:r>
            <w:proofErr w:type="spellEnd"/>
            <w:r w:rsidRPr="00326AAC">
              <w:rPr>
                <w:i/>
                <w:sz w:val="28"/>
                <w:szCs w:val="28"/>
                <w:lang w:val="ru-RU"/>
              </w:rPr>
              <w:t>@</w:t>
            </w:r>
            <w:proofErr w:type="spellStart"/>
            <w:r w:rsidRPr="00326AAC">
              <w:rPr>
                <w:i/>
                <w:sz w:val="28"/>
                <w:szCs w:val="28"/>
              </w:rPr>
              <w:t>ukr</w:t>
            </w:r>
            <w:proofErr w:type="spellEnd"/>
            <w:r w:rsidRPr="00326AAC">
              <w:rPr>
                <w:i/>
                <w:sz w:val="28"/>
                <w:szCs w:val="28"/>
                <w:lang w:val="ru-RU"/>
              </w:rPr>
              <w:t>.</w:t>
            </w:r>
            <w:r w:rsidRPr="00326AAC">
              <w:rPr>
                <w:i/>
                <w:sz w:val="28"/>
                <w:szCs w:val="28"/>
              </w:rPr>
              <w:t>net</w:t>
            </w:r>
          </w:p>
          <w:p w:rsidR="0005249A" w:rsidRPr="00326AAC" w:rsidRDefault="0005249A" w:rsidP="006537B2">
            <w:pPr>
              <w:ind w:right="128" w:firstLine="307"/>
              <w:jc w:val="both"/>
              <w:rPr>
                <w:color w:val="FF0000"/>
                <w:sz w:val="28"/>
                <w:szCs w:val="28"/>
                <w:lang w:val="ru-RU" w:eastAsia="ru-RU"/>
              </w:rPr>
            </w:pPr>
          </w:p>
          <w:p w:rsidR="0005249A" w:rsidRPr="00326AAC" w:rsidRDefault="0005249A" w:rsidP="00E21D92">
            <w:pPr>
              <w:ind w:right="128" w:firstLine="307"/>
              <w:jc w:val="both"/>
              <w:rPr>
                <w:color w:val="FF0000"/>
                <w:sz w:val="28"/>
                <w:szCs w:val="28"/>
                <w:u w:val="single"/>
                <w:lang w:val="uk-UA" w:eastAsia="ru-RU"/>
              </w:rPr>
            </w:pPr>
          </w:p>
          <w:p w:rsidR="002B0C36" w:rsidRPr="00326AAC" w:rsidRDefault="002B0C36" w:rsidP="00E21D92">
            <w:pPr>
              <w:ind w:right="128" w:firstLine="307"/>
              <w:jc w:val="both"/>
              <w:rPr>
                <w:b/>
                <w:color w:val="FF0000"/>
                <w:sz w:val="28"/>
                <w:szCs w:val="28"/>
                <w:lang w:val="ru-RU" w:eastAsia="ru-RU"/>
              </w:rPr>
            </w:pPr>
          </w:p>
        </w:tc>
      </w:tr>
      <w:tr w:rsidR="002B0C36" w:rsidRPr="00326AAC" w:rsidTr="0009649B">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jc w:val="center"/>
              <w:rPr>
                <w:b/>
                <w:sz w:val="28"/>
                <w:szCs w:val="28"/>
                <w:lang w:val="uk-UA" w:eastAsia="uk-UA"/>
              </w:rPr>
            </w:pPr>
            <w:r w:rsidRPr="00326AAC">
              <w:rPr>
                <w:b/>
                <w:sz w:val="28"/>
                <w:szCs w:val="28"/>
                <w:lang w:val="uk-UA" w:eastAsia="uk-UA"/>
              </w:rPr>
              <w:t>Кваліфікаційні вимоги</w:t>
            </w:r>
          </w:p>
        </w:tc>
      </w:tr>
      <w:tr w:rsidR="002B0C36" w:rsidRPr="00173A0F" w:rsidTr="0009649B">
        <w:trPr>
          <w:trHeight w:val="457"/>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173A0F" w:rsidRDefault="002B0C36" w:rsidP="002B0C36">
            <w:pPr>
              <w:spacing w:before="100" w:beforeAutospacing="1" w:after="100" w:afterAutospacing="1"/>
              <w:rPr>
                <w:sz w:val="28"/>
                <w:szCs w:val="28"/>
                <w:lang w:val="uk-UA" w:eastAsia="uk-UA"/>
              </w:rPr>
            </w:pPr>
            <w:r w:rsidRPr="00173A0F">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173A0F" w:rsidRDefault="002B0C36" w:rsidP="002B0C36">
            <w:pPr>
              <w:spacing w:before="100" w:beforeAutospacing="1" w:after="100" w:afterAutospacing="1"/>
              <w:jc w:val="center"/>
              <w:rPr>
                <w:sz w:val="28"/>
                <w:szCs w:val="28"/>
                <w:lang w:val="uk-UA" w:eastAsia="uk-UA"/>
              </w:rPr>
            </w:pPr>
            <w:r w:rsidRPr="00173A0F">
              <w:rPr>
                <w:sz w:val="28"/>
                <w:szCs w:val="28"/>
                <w:lang w:val="uk-UA" w:eastAsia="uk-UA"/>
              </w:rPr>
              <w:t>Освіта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173A0F" w:rsidRDefault="00173A0F" w:rsidP="008E2837">
            <w:pPr>
              <w:spacing w:before="240" w:after="240"/>
              <w:ind w:right="169" w:firstLine="307"/>
              <w:jc w:val="both"/>
              <w:rPr>
                <w:color w:val="FF0000"/>
                <w:sz w:val="28"/>
                <w:szCs w:val="28"/>
                <w:lang w:val="uk-UA" w:eastAsia="ru-RU"/>
              </w:rPr>
            </w:pPr>
            <w:r w:rsidRPr="00173A0F">
              <w:rPr>
                <w:sz w:val="28"/>
                <w:szCs w:val="28"/>
                <w:lang w:val="uk-UA"/>
              </w:rPr>
              <w:t>вища, ступінь освіти не нижче ступеня магістра</w:t>
            </w:r>
          </w:p>
        </w:tc>
      </w:tr>
      <w:tr w:rsidR="002B0C36" w:rsidRPr="00173A0F" w:rsidTr="0009649B">
        <w:trPr>
          <w:trHeight w:val="521"/>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173A0F" w:rsidRDefault="002B0C36" w:rsidP="002B0C36">
            <w:pPr>
              <w:spacing w:before="100" w:beforeAutospacing="1" w:after="100" w:afterAutospacing="1"/>
              <w:rPr>
                <w:sz w:val="28"/>
                <w:szCs w:val="28"/>
                <w:lang w:val="uk-UA" w:eastAsia="uk-UA"/>
              </w:rPr>
            </w:pPr>
            <w:r w:rsidRPr="00173A0F">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173A0F" w:rsidRDefault="002B0C36" w:rsidP="002B0C36">
            <w:pPr>
              <w:spacing w:before="100" w:beforeAutospacing="1" w:after="100" w:afterAutospacing="1"/>
              <w:ind w:right="268"/>
              <w:jc w:val="center"/>
              <w:rPr>
                <w:sz w:val="28"/>
                <w:szCs w:val="28"/>
                <w:lang w:val="uk-UA" w:eastAsia="uk-UA"/>
              </w:rPr>
            </w:pPr>
            <w:r w:rsidRPr="00173A0F">
              <w:rPr>
                <w:sz w:val="28"/>
                <w:szCs w:val="28"/>
                <w:lang w:val="uk-UA" w:eastAsia="uk-UA"/>
              </w:rPr>
              <w:t>Досвід роботи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173A0F" w:rsidRDefault="00173A0F" w:rsidP="002B0C36">
            <w:pPr>
              <w:ind w:firstLine="307"/>
              <w:jc w:val="both"/>
              <w:rPr>
                <w:color w:val="FF0000"/>
                <w:sz w:val="28"/>
                <w:szCs w:val="28"/>
                <w:lang w:val="uk-UA" w:eastAsia="ru-RU"/>
              </w:rPr>
            </w:pPr>
            <w:r w:rsidRPr="00173A0F">
              <w:rPr>
                <w:sz w:val="28"/>
                <w:szCs w:val="28"/>
                <w:lang w:val="uk-UA"/>
              </w:rPr>
              <w:t>досвід роботи на посадах державної служби категорії «Б» чи «В», досвід роботи в органах місцевого самоврядування, або досвід роботи на керівних посадах підприємств, установ та організацій незалежно від форм власності не менше одного року</w:t>
            </w:r>
          </w:p>
        </w:tc>
      </w:tr>
      <w:tr w:rsidR="002B0C36" w:rsidRPr="00173A0F" w:rsidTr="0009649B">
        <w:trPr>
          <w:trHeight w:val="373"/>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173A0F" w:rsidRDefault="002B0C36" w:rsidP="002B0C36">
            <w:pPr>
              <w:spacing w:before="100" w:beforeAutospacing="1" w:after="100" w:afterAutospacing="1"/>
              <w:rPr>
                <w:sz w:val="28"/>
                <w:szCs w:val="28"/>
                <w:lang w:val="uk-UA" w:eastAsia="uk-UA"/>
              </w:rPr>
            </w:pPr>
            <w:r w:rsidRPr="00173A0F">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173A0F" w:rsidRDefault="002B0C36" w:rsidP="002B0C36">
            <w:pPr>
              <w:spacing w:before="100" w:beforeAutospacing="1" w:after="100" w:afterAutospacing="1"/>
              <w:jc w:val="center"/>
              <w:rPr>
                <w:sz w:val="28"/>
                <w:szCs w:val="28"/>
                <w:lang w:val="uk-UA" w:eastAsia="uk-UA"/>
              </w:rPr>
            </w:pPr>
            <w:r w:rsidRPr="00173A0F">
              <w:rPr>
                <w:sz w:val="28"/>
                <w:szCs w:val="28"/>
                <w:lang w:val="uk-UA" w:eastAsia="uk-UA"/>
              </w:rPr>
              <w:t>Володіння державною мовою</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173A0F" w:rsidRDefault="00D27CBA" w:rsidP="002B0C36">
            <w:pPr>
              <w:spacing w:before="100" w:beforeAutospacing="1" w:after="100" w:afterAutospacing="1"/>
              <w:ind w:right="270" w:firstLine="307"/>
              <w:jc w:val="both"/>
              <w:rPr>
                <w:sz w:val="28"/>
                <w:szCs w:val="28"/>
                <w:lang w:val="uk-UA" w:eastAsia="uk-UA"/>
              </w:rPr>
            </w:pPr>
            <w:r w:rsidRPr="00173A0F">
              <w:rPr>
                <w:sz w:val="28"/>
                <w:szCs w:val="28"/>
                <w:lang w:val="uk-UA" w:eastAsia="uk-UA"/>
              </w:rPr>
              <w:t>в</w:t>
            </w:r>
            <w:r w:rsidR="002B0C36" w:rsidRPr="00173A0F">
              <w:rPr>
                <w:sz w:val="28"/>
                <w:szCs w:val="28"/>
                <w:lang w:val="uk-UA" w:eastAsia="uk-UA"/>
              </w:rPr>
              <w:t>ільне володіння державною мовою</w:t>
            </w:r>
          </w:p>
        </w:tc>
      </w:tr>
      <w:tr w:rsidR="002B0C36" w:rsidRPr="00173A0F" w:rsidTr="0009649B">
        <w:trPr>
          <w:trHeight w:val="425"/>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A4718F" w:rsidRDefault="007F00C5" w:rsidP="002B0C36">
            <w:pPr>
              <w:spacing w:before="100" w:beforeAutospacing="1" w:after="100" w:afterAutospacing="1"/>
              <w:ind w:right="270"/>
              <w:jc w:val="center"/>
              <w:rPr>
                <w:b/>
                <w:sz w:val="28"/>
                <w:szCs w:val="28"/>
                <w:lang w:val="uk-UA" w:eastAsia="uk-UA"/>
              </w:rPr>
            </w:pPr>
            <w:hyperlink r:id="rId6" w:tgtFrame="_top" w:history="1">
              <w:r w:rsidR="002B0C36" w:rsidRPr="00A4718F">
                <w:rPr>
                  <w:b/>
                  <w:sz w:val="28"/>
                  <w:szCs w:val="28"/>
                  <w:lang w:val="uk-UA" w:eastAsia="uk-UA"/>
                </w:rPr>
                <w:t>Вимоги до компетентності</w:t>
              </w:r>
            </w:hyperlink>
          </w:p>
        </w:tc>
      </w:tr>
      <w:tr w:rsidR="002B0C36" w:rsidRPr="00173A0F"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A4718F" w:rsidRDefault="002B0C36" w:rsidP="002B0C36">
            <w:pPr>
              <w:spacing w:before="100" w:beforeAutospacing="1" w:after="100" w:afterAutospacing="1"/>
              <w:jc w:val="center"/>
              <w:rPr>
                <w:b/>
                <w:sz w:val="28"/>
                <w:szCs w:val="28"/>
                <w:lang w:val="uk-UA" w:eastAsia="uk-UA"/>
              </w:rPr>
            </w:pPr>
            <w:r w:rsidRPr="00A4718F">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A4718F" w:rsidRDefault="002B0C36" w:rsidP="002B0C36">
            <w:pPr>
              <w:jc w:val="center"/>
              <w:rPr>
                <w:b/>
                <w:sz w:val="28"/>
                <w:szCs w:val="28"/>
                <w:lang w:val="uk-UA" w:eastAsia="ru-RU"/>
              </w:rPr>
            </w:pPr>
            <w:r w:rsidRPr="00A4718F">
              <w:rPr>
                <w:b/>
                <w:sz w:val="28"/>
                <w:szCs w:val="28"/>
                <w:lang w:val="uk-UA" w:eastAsia="ru-RU"/>
              </w:rPr>
              <w:t>Компоненти вимоги</w:t>
            </w:r>
          </w:p>
        </w:tc>
      </w:tr>
      <w:tr w:rsidR="00FE7DB0" w:rsidRPr="0040747C" w:rsidTr="00A4718F">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A4718F" w:rsidRDefault="00FE7DB0" w:rsidP="002B0C36">
            <w:pPr>
              <w:spacing w:before="100" w:beforeAutospacing="1" w:after="100" w:afterAutospacing="1"/>
              <w:rPr>
                <w:sz w:val="28"/>
                <w:szCs w:val="28"/>
                <w:lang w:val="uk-UA" w:eastAsia="uk-UA"/>
              </w:rPr>
            </w:pPr>
            <w:r w:rsidRPr="00A4718F">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A4718F" w:rsidRDefault="002F6116" w:rsidP="00C73264">
            <w:pPr>
              <w:tabs>
                <w:tab w:val="left" w:pos="3330"/>
              </w:tabs>
              <w:jc w:val="both"/>
              <w:rPr>
                <w:sz w:val="28"/>
                <w:szCs w:val="28"/>
                <w:lang w:val="uk-UA"/>
              </w:rPr>
            </w:pPr>
            <w:r w:rsidRPr="00A4718F">
              <w:rPr>
                <w:sz w:val="28"/>
                <w:szCs w:val="28"/>
                <w:lang w:val="uk-UA"/>
              </w:rPr>
              <w:t>Досягнення результатів</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F6116" w:rsidRPr="00A4718F" w:rsidRDefault="0040747C" w:rsidP="002F6116">
            <w:pPr>
              <w:tabs>
                <w:tab w:val="left" w:pos="3330"/>
              </w:tabs>
              <w:jc w:val="both"/>
              <w:rPr>
                <w:sz w:val="28"/>
                <w:szCs w:val="28"/>
                <w:lang w:val="uk-UA"/>
              </w:rPr>
            </w:pPr>
            <w:r w:rsidRPr="00A4718F">
              <w:rPr>
                <w:sz w:val="28"/>
                <w:szCs w:val="28"/>
                <w:lang w:val="uk-UA"/>
              </w:rPr>
              <w:t xml:space="preserve">- </w:t>
            </w:r>
            <w:r w:rsidR="002F6116" w:rsidRPr="00A4718F">
              <w:rPr>
                <w:sz w:val="28"/>
                <w:szCs w:val="28"/>
                <w:lang w:val="uk-UA"/>
              </w:rPr>
              <w:t>здатність до чіткого бачення результату діяльності;</w:t>
            </w:r>
          </w:p>
          <w:p w:rsidR="002F6116" w:rsidRPr="00A4718F" w:rsidRDefault="002F6116" w:rsidP="002F6116">
            <w:pPr>
              <w:tabs>
                <w:tab w:val="left" w:pos="3330"/>
              </w:tabs>
              <w:jc w:val="both"/>
              <w:rPr>
                <w:sz w:val="28"/>
                <w:szCs w:val="28"/>
                <w:lang w:val="uk-UA"/>
              </w:rPr>
            </w:pPr>
            <w:r w:rsidRPr="00A4718F">
              <w:rPr>
                <w:sz w:val="28"/>
                <w:szCs w:val="28"/>
                <w:lang w:val="uk-UA"/>
              </w:rPr>
              <w:t>вміння фокусувати зусилля для досягнення результату діяльності;</w:t>
            </w:r>
          </w:p>
          <w:p w:rsidR="00FE7DB0" w:rsidRPr="00A4718F" w:rsidRDefault="0040747C" w:rsidP="0040747C">
            <w:pPr>
              <w:tabs>
                <w:tab w:val="left" w:pos="3330"/>
              </w:tabs>
              <w:jc w:val="both"/>
              <w:rPr>
                <w:sz w:val="28"/>
                <w:szCs w:val="28"/>
                <w:lang w:val="uk-UA"/>
              </w:rPr>
            </w:pPr>
            <w:r w:rsidRPr="00A4718F">
              <w:rPr>
                <w:sz w:val="28"/>
                <w:szCs w:val="28"/>
                <w:lang w:val="uk-UA"/>
              </w:rPr>
              <w:t xml:space="preserve">- </w:t>
            </w:r>
            <w:r w:rsidR="002F6116" w:rsidRPr="00A4718F">
              <w:rPr>
                <w:sz w:val="28"/>
                <w:szCs w:val="28"/>
                <w:lang w:val="uk-UA"/>
              </w:rPr>
              <w:t>вміння запобігати та ефективно долати перешкоди</w:t>
            </w:r>
          </w:p>
        </w:tc>
      </w:tr>
      <w:tr w:rsidR="00FE7DB0" w:rsidRPr="00173A0F" w:rsidTr="00A4718F">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7DB0" w:rsidRPr="00A4718F" w:rsidRDefault="00FE7DB0" w:rsidP="002B0C36">
            <w:pPr>
              <w:spacing w:before="100" w:beforeAutospacing="1" w:after="100" w:afterAutospacing="1"/>
              <w:rPr>
                <w:sz w:val="28"/>
                <w:szCs w:val="28"/>
                <w:lang w:val="uk-UA" w:eastAsia="uk-UA"/>
              </w:rPr>
            </w:pPr>
            <w:r w:rsidRPr="00A4718F">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A4718F" w:rsidRDefault="002F6116" w:rsidP="00C73264">
            <w:pPr>
              <w:tabs>
                <w:tab w:val="left" w:pos="3330"/>
              </w:tabs>
              <w:jc w:val="both"/>
              <w:rPr>
                <w:sz w:val="28"/>
                <w:szCs w:val="28"/>
                <w:lang w:val="uk-UA"/>
              </w:rPr>
            </w:pPr>
            <w:r w:rsidRPr="00A4718F">
              <w:rPr>
                <w:sz w:val="28"/>
                <w:szCs w:val="28"/>
                <w:lang w:val="uk-UA"/>
              </w:rPr>
              <w:t>Відповідальність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F6116" w:rsidRPr="00A4718F" w:rsidRDefault="00A30C32" w:rsidP="002F6116">
            <w:pPr>
              <w:tabs>
                <w:tab w:val="left" w:pos="3330"/>
              </w:tabs>
              <w:jc w:val="both"/>
              <w:rPr>
                <w:sz w:val="28"/>
                <w:szCs w:val="28"/>
                <w:lang w:val="uk-UA"/>
              </w:rPr>
            </w:pPr>
            <w:r w:rsidRPr="00A4718F">
              <w:rPr>
                <w:sz w:val="28"/>
                <w:szCs w:val="28"/>
                <w:lang w:val="uk-UA"/>
              </w:rPr>
              <w:t xml:space="preserve">- </w:t>
            </w:r>
            <w:r w:rsidR="002F6116" w:rsidRPr="00A4718F">
              <w:rPr>
                <w:sz w:val="28"/>
                <w:szCs w:val="28"/>
                <w:lang w:val="uk-UA"/>
              </w:rPr>
              <w:t xml:space="preserve">усвідомлення важливості якісного виконання своїх посадових обов’язків з дотриманням строків </w:t>
            </w:r>
            <w:r w:rsidR="002F6116" w:rsidRPr="00A4718F">
              <w:rPr>
                <w:sz w:val="28"/>
                <w:szCs w:val="28"/>
                <w:lang w:val="uk-UA"/>
              </w:rPr>
              <w:lastRenderedPageBreak/>
              <w:t>та встановлених процедур;</w:t>
            </w:r>
          </w:p>
          <w:p w:rsidR="002F6116" w:rsidRPr="00A4718F" w:rsidRDefault="00A30C32" w:rsidP="002F6116">
            <w:pPr>
              <w:tabs>
                <w:tab w:val="left" w:pos="3330"/>
              </w:tabs>
              <w:jc w:val="both"/>
              <w:rPr>
                <w:sz w:val="28"/>
                <w:szCs w:val="28"/>
                <w:lang w:val="uk-UA"/>
              </w:rPr>
            </w:pPr>
            <w:r w:rsidRPr="00A4718F">
              <w:rPr>
                <w:sz w:val="28"/>
                <w:szCs w:val="28"/>
                <w:lang w:val="uk-UA"/>
              </w:rPr>
              <w:t xml:space="preserve">- </w:t>
            </w:r>
            <w:r w:rsidR="002F6116" w:rsidRPr="00A4718F">
              <w:rPr>
                <w:sz w:val="28"/>
                <w:szCs w:val="28"/>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FE7DB0" w:rsidRPr="00A4718F" w:rsidRDefault="00A30C32" w:rsidP="00A30C32">
            <w:pPr>
              <w:tabs>
                <w:tab w:val="left" w:pos="3330"/>
              </w:tabs>
              <w:jc w:val="both"/>
              <w:rPr>
                <w:sz w:val="28"/>
                <w:szCs w:val="28"/>
                <w:lang w:val="uk-UA"/>
              </w:rPr>
            </w:pPr>
            <w:r w:rsidRPr="00A4718F">
              <w:rPr>
                <w:sz w:val="28"/>
                <w:szCs w:val="28"/>
                <w:lang w:val="uk-UA"/>
              </w:rPr>
              <w:t xml:space="preserve">- </w:t>
            </w:r>
            <w:r w:rsidR="002F6116" w:rsidRPr="00A4718F">
              <w:rPr>
                <w:sz w:val="28"/>
                <w:szCs w:val="28"/>
                <w:lang w:val="uk-UA"/>
              </w:rPr>
              <w:t>здатність брати на себе зобов’язання, чітко їх дотримуватись і виконувати</w:t>
            </w:r>
            <w:r w:rsidRPr="00A4718F">
              <w:rPr>
                <w:sz w:val="28"/>
                <w:szCs w:val="28"/>
                <w:lang w:val="uk-UA"/>
              </w:rPr>
              <w:t>;</w:t>
            </w:r>
          </w:p>
        </w:tc>
      </w:tr>
      <w:tr w:rsidR="00FE7DB0" w:rsidRPr="00173A0F" w:rsidTr="00A4718F">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7DB0" w:rsidRPr="00A4718F" w:rsidRDefault="00FE7DB0" w:rsidP="002B0C36">
            <w:pPr>
              <w:spacing w:before="100" w:beforeAutospacing="1" w:after="100" w:afterAutospacing="1"/>
              <w:rPr>
                <w:sz w:val="28"/>
                <w:szCs w:val="28"/>
                <w:lang w:val="uk-UA" w:eastAsia="uk-UA"/>
              </w:rPr>
            </w:pPr>
            <w:r w:rsidRPr="00A4718F">
              <w:rPr>
                <w:sz w:val="28"/>
                <w:szCs w:val="28"/>
                <w:lang w:val="uk-UA" w:eastAsia="uk-UA"/>
              </w:rPr>
              <w:lastRenderedPageBreak/>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A4718F" w:rsidRDefault="002F6116" w:rsidP="0010208E">
            <w:pPr>
              <w:tabs>
                <w:tab w:val="left" w:pos="3330"/>
              </w:tabs>
              <w:rPr>
                <w:sz w:val="28"/>
                <w:szCs w:val="28"/>
                <w:lang w:val="uk-UA"/>
              </w:rPr>
            </w:pPr>
            <w:r w:rsidRPr="00A4718F">
              <w:rPr>
                <w:sz w:val="28"/>
                <w:szCs w:val="28"/>
                <w:lang w:val="uk-UA"/>
              </w:rPr>
              <w:t>Комунікація та взаємодія</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F6116" w:rsidRPr="00A4718F" w:rsidRDefault="0040747C" w:rsidP="002F6116">
            <w:pPr>
              <w:tabs>
                <w:tab w:val="left" w:pos="3330"/>
              </w:tabs>
              <w:jc w:val="both"/>
              <w:rPr>
                <w:sz w:val="28"/>
                <w:szCs w:val="28"/>
                <w:lang w:val="uk-UA"/>
              </w:rPr>
            </w:pPr>
            <w:r w:rsidRPr="00A4718F">
              <w:rPr>
                <w:sz w:val="28"/>
                <w:szCs w:val="28"/>
                <w:lang w:val="uk-UA"/>
              </w:rPr>
              <w:t xml:space="preserve">- </w:t>
            </w:r>
            <w:r w:rsidR="002F6116" w:rsidRPr="00A4718F">
              <w:rPr>
                <w:sz w:val="28"/>
                <w:szCs w:val="28"/>
                <w:lang w:val="uk-UA"/>
              </w:rPr>
              <w:t>вміння визначати заінтересовані і впливові сторони та розбудовувати партнерські відносини;</w:t>
            </w:r>
          </w:p>
          <w:p w:rsidR="002F6116" w:rsidRPr="00A4718F" w:rsidRDefault="0040747C" w:rsidP="002F6116">
            <w:pPr>
              <w:tabs>
                <w:tab w:val="left" w:pos="3330"/>
              </w:tabs>
              <w:jc w:val="both"/>
              <w:rPr>
                <w:sz w:val="28"/>
                <w:szCs w:val="28"/>
                <w:lang w:val="uk-UA"/>
              </w:rPr>
            </w:pPr>
            <w:r w:rsidRPr="00A4718F">
              <w:rPr>
                <w:sz w:val="28"/>
                <w:szCs w:val="28"/>
                <w:lang w:val="uk-UA"/>
              </w:rPr>
              <w:t xml:space="preserve">- </w:t>
            </w:r>
            <w:r w:rsidR="002F6116" w:rsidRPr="00A4718F">
              <w:rPr>
                <w:sz w:val="28"/>
                <w:szCs w:val="28"/>
                <w:lang w:val="uk-UA"/>
              </w:rPr>
              <w:t>здатність ефективно взаємодіяти – дослухатися, сприймати та викладати думку;</w:t>
            </w:r>
          </w:p>
          <w:p w:rsidR="00FE7DB0" w:rsidRPr="00A4718F" w:rsidRDefault="0040747C" w:rsidP="0040747C">
            <w:pPr>
              <w:pStyle w:val="a6"/>
              <w:ind w:left="96"/>
              <w:jc w:val="both"/>
              <w:rPr>
                <w:sz w:val="28"/>
                <w:szCs w:val="28"/>
                <w:lang w:val="uk-UA"/>
              </w:rPr>
            </w:pPr>
            <w:r w:rsidRPr="00A4718F">
              <w:rPr>
                <w:sz w:val="28"/>
                <w:szCs w:val="28"/>
                <w:lang w:val="uk-UA"/>
              </w:rPr>
              <w:t xml:space="preserve">- </w:t>
            </w:r>
            <w:r w:rsidR="002F6116" w:rsidRPr="00A4718F">
              <w:rPr>
                <w:sz w:val="28"/>
                <w:szCs w:val="28"/>
                <w:lang w:val="uk-UA"/>
              </w:rPr>
              <w:t>здатність переконувати інших за допомогою аргументів та послідовної комунікації</w:t>
            </w:r>
            <w:r w:rsidRPr="00A4718F">
              <w:rPr>
                <w:sz w:val="28"/>
                <w:szCs w:val="28"/>
                <w:lang w:val="uk-UA"/>
              </w:rPr>
              <w:t>;</w:t>
            </w:r>
          </w:p>
        </w:tc>
      </w:tr>
      <w:tr w:rsidR="002F6116" w:rsidRPr="00173A0F" w:rsidTr="00A4718F">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F6116" w:rsidRPr="00A4718F" w:rsidRDefault="002F6116" w:rsidP="002B0C36">
            <w:pPr>
              <w:spacing w:before="100" w:beforeAutospacing="1" w:after="100" w:afterAutospacing="1"/>
              <w:rPr>
                <w:sz w:val="28"/>
                <w:szCs w:val="28"/>
                <w:lang w:val="uk-UA" w:eastAsia="uk-UA"/>
              </w:rPr>
            </w:pPr>
            <w:r w:rsidRPr="00A4718F">
              <w:rPr>
                <w:sz w:val="28"/>
                <w:szCs w:val="28"/>
                <w:lang w:val="uk-UA" w:eastAsia="uk-UA"/>
              </w:rPr>
              <w:t>4.</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F6116" w:rsidRPr="00A4718F" w:rsidRDefault="0040747C" w:rsidP="0010208E">
            <w:pPr>
              <w:tabs>
                <w:tab w:val="left" w:pos="3330"/>
              </w:tabs>
              <w:rPr>
                <w:sz w:val="28"/>
                <w:szCs w:val="28"/>
                <w:lang w:val="uk-UA"/>
              </w:rPr>
            </w:pPr>
            <w:r w:rsidRPr="00A4718F">
              <w:rPr>
                <w:sz w:val="28"/>
                <w:szCs w:val="28"/>
                <w:lang w:val="uk-UA"/>
              </w:rPr>
              <w:t>Аналітичні здібності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0747C" w:rsidRPr="00A4718F" w:rsidRDefault="00316C6A" w:rsidP="0040747C">
            <w:pPr>
              <w:tabs>
                <w:tab w:val="left" w:pos="3330"/>
              </w:tabs>
              <w:jc w:val="both"/>
              <w:rPr>
                <w:sz w:val="28"/>
                <w:szCs w:val="28"/>
                <w:lang w:val="uk-UA"/>
              </w:rPr>
            </w:pPr>
            <w:r w:rsidRPr="00A4718F">
              <w:rPr>
                <w:sz w:val="28"/>
                <w:szCs w:val="28"/>
                <w:lang w:val="uk-UA"/>
              </w:rPr>
              <w:t xml:space="preserve">- </w:t>
            </w:r>
            <w:r w:rsidR="0040747C" w:rsidRPr="00A4718F">
              <w:rPr>
                <w:sz w:val="28"/>
                <w:szCs w:val="28"/>
                <w:lang w:val="uk-UA"/>
              </w:rPr>
              <w:t xml:space="preserve">здатність до логічного мислення, узагальнення, конкретизації, розкладання складних питань на складові, виділити головне від другорядного, виявляти закономірності; </w:t>
            </w:r>
          </w:p>
          <w:p w:rsidR="0040747C" w:rsidRPr="00A4718F" w:rsidRDefault="00316C6A" w:rsidP="0040747C">
            <w:pPr>
              <w:tabs>
                <w:tab w:val="left" w:pos="3330"/>
              </w:tabs>
              <w:jc w:val="both"/>
              <w:rPr>
                <w:sz w:val="28"/>
                <w:szCs w:val="28"/>
                <w:lang w:val="uk-UA"/>
              </w:rPr>
            </w:pPr>
            <w:r w:rsidRPr="00A4718F">
              <w:rPr>
                <w:sz w:val="28"/>
                <w:szCs w:val="28"/>
                <w:lang w:val="uk-UA"/>
              </w:rPr>
              <w:t xml:space="preserve">- </w:t>
            </w:r>
            <w:r w:rsidR="0040747C" w:rsidRPr="00A4718F">
              <w:rPr>
                <w:sz w:val="28"/>
                <w:szCs w:val="28"/>
                <w:lang w:val="uk-UA"/>
              </w:rPr>
              <w:t>вміння встановлювати причинно-наслідкові зв’язки;</w:t>
            </w:r>
          </w:p>
          <w:p w:rsidR="002F6116" w:rsidRPr="00A4718F" w:rsidRDefault="00316C6A" w:rsidP="0040747C">
            <w:pPr>
              <w:tabs>
                <w:tab w:val="left" w:pos="3330"/>
              </w:tabs>
              <w:jc w:val="both"/>
              <w:rPr>
                <w:sz w:val="28"/>
                <w:szCs w:val="28"/>
                <w:lang w:val="uk-UA"/>
              </w:rPr>
            </w:pPr>
            <w:r w:rsidRPr="00A4718F">
              <w:rPr>
                <w:sz w:val="28"/>
                <w:szCs w:val="28"/>
                <w:lang w:val="uk-UA"/>
              </w:rPr>
              <w:t xml:space="preserve">- </w:t>
            </w:r>
            <w:r w:rsidR="0040747C" w:rsidRPr="00A4718F">
              <w:rPr>
                <w:sz w:val="28"/>
                <w:szCs w:val="28"/>
                <w:lang w:val="uk-UA"/>
              </w:rPr>
              <w:t>вміння аналізувати інформацію та робити висновки, критично оцінювати ситуації, прогнозувати та робити власні висновки</w:t>
            </w:r>
            <w:r w:rsidRPr="00A4718F">
              <w:rPr>
                <w:sz w:val="28"/>
                <w:szCs w:val="28"/>
                <w:lang w:val="uk-UA"/>
              </w:rPr>
              <w:t>;</w:t>
            </w:r>
          </w:p>
        </w:tc>
      </w:tr>
      <w:tr w:rsidR="0040747C" w:rsidRPr="00173A0F" w:rsidTr="00A4718F">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0747C" w:rsidRPr="00A4718F" w:rsidRDefault="0040747C" w:rsidP="002B0C36">
            <w:pPr>
              <w:spacing w:before="100" w:beforeAutospacing="1" w:after="100" w:afterAutospacing="1"/>
              <w:rPr>
                <w:sz w:val="28"/>
                <w:szCs w:val="28"/>
                <w:lang w:val="uk-UA" w:eastAsia="uk-UA"/>
              </w:rPr>
            </w:pPr>
            <w:r w:rsidRPr="00A4718F">
              <w:rPr>
                <w:sz w:val="28"/>
                <w:szCs w:val="28"/>
                <w:lang w:val="uk-UA" w:eastAsia="uk-UA"/>
              </w:rPr>
              <w:t>5.</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0747C" w:rsidRPr="00A4718F" w:rsidRDefault="00316C6A" w:rsidP="0010208E">
            <w:pPr>
              <w:tabs>
                <w:tab w:val="left" w:pos="3330"/>
              </w:tabs>
              <w:rPr>
                <w:sz w:val="28"/>
                <w:szCs w:val="28"/>
                <w:lang w:val="uk-UA"/>
              </w:rPr>
            </w:pPr>
            <w:r w:rsidRPr="00A4718F">
              <w:rPr>
                <w:sz w:val="28"/>
                <w:szCs w:val="28"/>
                <w:lang w:val="uk-UA"/>
              </w:rPr>
              <w:t>Цифрова грамотність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718F" w:rsidRPr="00A4718F" w:rsidRDefault="00A4718F" w:rsidP="00A4718F">
            <w:pPr>
              <w:tabs>
                <w:tab w:val="left" w:pos="3330"/>
              </w:tabs>
              <w:jc w:val="both"/>
              <w:rPr>
                <w:sz w:val="28"/>
                <w:szCs w:val="28"/>
                <w:lang w:val="uk-UA"/>
              </w:rPr>
            </w:pPr>
            <w:r w:rsidRPr="00A4718F">
              <w:rPr>
                <w:sz w:val="28"/>
                <w:szCs w:val="28"/>
                <w:lang w:val="uk-UA"/>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4718F" w:rsidRPr="00A4718F" w:rsidRDefault="00A4718F" w:rsidP="00A4718F">
            <w:pPr>
              <w:tabs>
                <w:tab w:val="left" w:pos="3330"/>
              </w:tabs>
              <w:jc w:val="both"/>
              <w:rPr>
                <w:sz w:val="28"/>
                <w:szCs w:val="28"/>
                <w:lang w:val="uk-UA"/>
              </w:rPr>
            </w:pPr>
            <w:r w:rsidRPr="00A4718F">
              <w:rPr>
                <w:sz w:val="28"/>
                <w:szCs w:val="28"/>
                <w:lang w:val="uk-UA"/>
              </w:rPr>
              <w:t xml:space="preserve">- вміння використовувати сервіси </w:t>
            </w:r>
            <w:proofErr w:type="spellStart"/>
            <w:r w:rsidRPr="00A4718F">
              <w:rPr>
                <w:sz w:val="28"/>
                <w:szCs w:val="28"/>
                <w:lang w:val="uk-UA"/>
              </w:rPr>
              <w:t>інтернету</w:t>
            </w:r>
            <w:proofErr w:type="spellEnd"/>
            <w:r w:rsidRPr="00A4718F">
              <w:rPr>
                <w:sz w:val="28"/>
                <w:szCs w:val="28"/>
                <w:lang w:val="uk-UA"/>
              </w:rPr>
              <w:t xml:space="preserve"> для ефективного пошуку потрібної інформації; вміння перевіряти наявність джерел і достовірність даних та інформації у цифровому середовищі;</w:t>
            </w:r>
          </w:p>
          <w:p w:rsidR="00A4718F" w:rsidRPr="00A4718F" w:rsidRDefault="00A4718F" w:rsidP="00A4718F">
            <w:pPr>
              <w:tabs>
                <w:tab w:val="left" w:pos="3330"/>
              </w:tabs>
              <w:jc w:val="both"/>
              <w:rPr>
                <w:sz w:val="28"/>
                <w:szCs w:val="28"/>
                <w:lang w:val="uk-UA"/>
              </w:rPr>
            </w:pPr>
            <w:r w:rsidRPr="00A4718F">
              <w:rPr>
                <w:sz w:val="28"/>
                <w:szCs w:val="28"/>
                <w:lang w:val="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A4718F" w:rsidRPr="00A4718F" w:rsidRDefault="00A4718F" w:rsidP="00A4718F">
            <w:pPr>
              <w:tabs>
                <w:tab w:val="left" w:pos="3330"/>
              </w:tabs>
              <w:jc w:val="both"/>
              <w:rPr>
                <w:sz w:val="28"/>
                <w:szCs w:val="28"/>
                <w:lang w:val="uk-UA"/>
              </w:rPr>
            </w:pPr>
            <w:r w:rsidRPr="00A4718F">
              <w:rPr>
                <w:sz w:val="28"/>
                <w:szCs w:val="28"/>
                <w:lang w:val="uk-UA"/>
              </w:rPr>
              <w:t>- здатність уникати небезпек в цифровому середовищі, захищати особисті та конфіденційні дані;</w:t>
            </w:r>
          </w:p>
          <w:p w:rsidR="00A4718F" w:rsidRPr="00A4718F" w:rsidRDefault="00A4718F" w:rsidP="00A4718F">
            <w:pPr>
              <w:tabs>
                <w:tab w:val="left" w:pos="3330"/>
              </w:tabs>
              <w:jc w:val="both"/>
              <w:rPr>
                <w:sz w:val="28"/>
                <w:szCs w:val="28"/>
                <w:lang w:val="uk-UA"/>
              </w:rPr>
            </w:pPr>
            <w:r w:rsidRPr="00A4718F">
              <w:rPr>
                <w:sz w:val="28"/>
                <w:szCs w:val="28"/>
                <w:lang w:val="uk-UA"/>
              </w:rPr>
              <w:t>- здатність уникати небезпек в цифровому середовищі, захищати особисті та конфіденційні дані;</w:t>
            </w:r>
          </w:p>
          <w:p w:rsidR="00A4718F" w:rsidRPr="00A4718F" w:rsidRDefault="00A4718F" w:rsidP="00A4718F">
            <w:pPr>
              <w:tabs>
                <w:tab w:val="left" w:pos="3330"/>
              </w:tabs>
              <w:jc w:val="both"/>
              <w:rPr>
                <w:sz w:val="28"/>
                <w:szCs w:val="28"/>
                <w:lang w:val="uk-UA"/>
              </w:rPr>
            </w:pPr>
            <w:r w:rsidRPr="00A4718F">
              <w:rPr>
                <w:sz w:val="28"/>
                <w:szCs w:val="28"/>
                <w:lang w:val="uk-UA"/>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w:t>
            </w:r>
          </w:p>
          <w:p w:rsidR="00A4718F" w:rsidRPr="00A4718F" w:rsidRDefault="00A4718F" w:rsidP="00A4718F">
            <w:pPr>
              <w:tabs>
                <w:tab w:val="left" w:pos="3330"/>
              </w:tabs>
              <w:jc w:val="both"/>
              <w:rPr>
                <w:sz w:val="28"/>
                <w:szCs w:val="28"/>
                <w:lang w:val="uk-UA"/>
              </w:rPr>
            </w:pPr>
            <w:r w:rsidRPr="00A4718F">
              <w:rPr>
                <w:sz w:val="28"/>
                <w:szCs w:val="28"/>
                <w:lang w:val="uk-UA"/>
              </w:rPr>
              <w:t xml:space="preserve">- здатність використовувати відкриті цифрові ресурси для власного професійного розвитку. </w:t>
            </w:r>
          </w:p>
          <w:p w:rsidR="0040747C" w:rsidRPr="00A4718F" w:rsidRDefault="0040747C" w:rsidP="0040747C">
            <w:pPr>
              <w:tabs>
                <w:tab w:val="left" w:pos="3330"/>
              </w:tabs>
              <w:jc w:val="both"/>
              <w:rPr>
                <w:sz w:val="28"/>
                <w:szCs w:val="28"/>
                <w:lang w:val="uk-UA"/>
              </w:rPr>
            </w:pPr>
          </w:p>
        </w:tc>
      </w:tr>
      <w:tr w:rsidR="00FE7DB0" w:rsidRPr="00173A0F" w:rsidTr="0009649B">
        <w:trPr>
          <w:trHeight w:val="310"/>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A4718F" w:rsidRDefault="00FE7DB0" w:rsidP="00625682">
            <w:pPr>
              <w:jc w:val="center"/>
              <w:rPr>
                <w:b/>
                <w:sz w:val="28"/>
                <w:szCs w:val="28"/>
                <w:lang w:val="uk-UA" w:eastAsia="ru-RU"/>
              </w:rPr>
            </w:pPr>
            <w:r w:rsidRPr="00A4718F">
              <w:rPr>
                <w:b/>
                <w:sz w:val="28"/>
                <w:szCs w:val="28"/>
                <w:lang w:val="uk-UA" w:eastAsia="ru-RU"/>
              </w:rPr>
              <w:lastRenderedPageBreak/>
              <w:t>Професійні знання</w:t>
            </w:r>
          </w:p>
        </w:tc>
      </w:tr>
      <w:tr w:rsidR="00FE7DB0" w:rsidRPr="00173A0F"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A4718F" w:rsidRDefault="00FE7DB0" w:rsidP="00625682">
            <w:pPr>
              <w:jc w:val="center"/>
              <w:rPr>
                <w:b/>
                <w:sz w:val="28"/>
                <w:szCs w:val="28"/>
                <w:lang w:val="uk-UA" w:eastAsia="uk-UA"/>
              </w:rPr>
            </w:pPr>
            <w:r w:rsidRPr="00A4718F">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A4718F" w:rsidRDefault="00FE7DB0" w:rsidP="00625682">
            <w:pPr>
              <w:jc w:val="center"/>
              <w:rPr>
                <w:b/>
                <w:sz w:val="28"/>
                <w:szCs w:val="28"/>
                <w:lang w:val="uk-UA" w:eastAsia="ru-RU"/>
              </w:rPr>
            </w:pPr>
            <w:r w:rsidRPr="00A4718F">
              <w:rPr>
                <w:b/>
                <w:sz w:val="28"/>
                <w:szCs w:val="28"/>
                <w:lang w:val="uk-UA" w:eastAsia="ru-RU"/>
              </w:rPr>
              <w:t>Компоненти вимоги</w:t>
            </w:r>
          </w:p>
        </w:tc>
      </w:tr>
      <w:tr w:rsidR="00FE7DB0" w:rsidRPr="00173A0F"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E7DB0" w:rsidRPr="00A4718F" w:rsidRDefault="00FE7DB0" w:rsidP="00625682">
            <w:pPr>
              <w:rPr>
                <w:sz w:val="28"/>
                <w:szCs w:val="28"/>
                <w:lang w:val="uk-UA" w:eastAsia="uk-UA"/>
              </w:rPr>
            </w:pPr>
            <w:r w:rsidRPr="00A4718F">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A4718F" w:rsidRDefault="00FE7DB0" w:rsidP="00625682">
            <w:pPr>
              <w:jc w:val="center"/>
              <w:rPr>
                <w:sz w:val="28"/>
                <w:szCs w:val="28"/>
                <w:lang w:val="uk-UA" w:eastAsia="uk-UA"/>
              </w:rPr>
            </w:pPr>
            <w:r w:rsidRPr="00A4718F">
              <w:rPr>
                <w:sz w:val="28"/>
                <w:szCs w:val="28"/>
                <w:lang w:val="uk-UA" w:eastAsia="uk-UA"/>
              </w:rPr>
              <w:t>Знання законодавства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718F" w:rsidRPr="00A4718F" w:rsidRDefault="00A4718F" w:rsidP="00A4718F">
            <w:pPr>
              <w:tabs>
                <w:tab w:val="left" w:pos="3330"/>
              </w:tabs>
              <w:jc w:val="both"/>
              <w:rPr>
                <w:sz w:val="28"/>
                <w:szCs w:val="28"/>
                <w:lang w:val="uk-UA"/>
              </w:rPr>
            </w:pPr>
            <w:r w:rsidRPr="00A4718F">
              <w:rPr>
                <w:sz w:val="28"/>
                <w:szCs w:val="28"/>
                <w:lang w:val="uk-UA"/>
              </w:rPr>
              <w:t>Знання:</w:t>
            </w:r>
          </w:p>
          <w:p w:rsidR="00A4718F" w:rsidRPr="00A4718F" w:rsidRDefault="00A4718F" w:rsidP="00A4718F">
            <w:pPr>
              <w:tabs>
                <w:tab w:val="left" w:pos="3330"/>
              </w:tabs>
              <w:jc w:val="both"/>
              <w:rPr>
                <w:sz w:val="28"/>
                <w:szCs w:val="28"/>
                <w:lang w:val="uk-UA"/>
              </w:rPr>
            </w:pPr>
            <w:r w:rsidRPr="00A4718F">
              <w:rPr>
                <w:sz w:val="28"/>
                <w:szCs w:val="28"/>
                <w:lang w:val="uk-UA"/>
              </w:rPr>
              <w:t>Конституції України;</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державну службу»;</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запобігання корупції» та іншого законодавства;</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звернення громадян»;</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доступ до публічної інформації»;</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захист персональних даних»;</w:t>
            </w:r>
          </w:p>
          <w:p w:rsidR="00FE7DB0" w:rsidRPr="00A4718F" w:rsidRDefault="00FE7DB0" w:rsidP="00625682">
            <w:pPr>
              <w:ind w:right="169" w:firstLine="307"/>
              <w:jc w:val="both"/>
              <w:rPr>
                <w:color w:val="FF0000"/>
                <w:sz w:val="28"/>
                <w:szCs w:val="28"/>
                <w:lang w:val="uk-UA" w:eastAsia="ru-RU"/>
              </w:rPr>
            </w:pPr>
          </w:p>
        </w:tc>
      </w:tr>
      <w:tr w:rsidR="00FE7DB0" w:rsidRPr="00173A0F"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A4718F" w:rsidRDefault="00FE7DB0" w:rsidP="002B0C36">
            <w:pPr>
              <w:spacing w:before="100" w:beforeAutospacing="1" w:after="100" w:afterAutospacing="1"/>
              <w:rPr>
                <w:sz w:val="28"/>
                <w:szCs w:val="28"/>
                <w:lang w:val="uk-UA" w:eastAsia="uk-UA"/>
              </w:rPr>
            </w:pPr>
            <w:r w:rsidRPr="00A4718F">
              <w:rPr>
                <w:sz w:val="28"/>
                <w:szCs w:val="28"/>
                <w:lang w:val="uk-UA" w:eastAsia="uk-UA"/>
              </w:rPr>
              <w:t xml:space="preserve">2. </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7DB0" w:rsidRPr="00A4718F" w:rsidRDefault="00FE7DB0" w:rsidP="002B0C36">
            <w:pPr>
              <w:spacing w:before="100" w:beforeAutospacing="1" w:after="100" w:afterAutospacing="1"/>
              <w:jc w:val="center"/>
              <w:rPr>
                <w:sz w:val="28"/>
                <w:szCs w:val="28"/>
                <w:lang w:val="uk-UA" w:eastAsia="uk-UA"/>
              </w:rPr>
            </w:pPr>
            <w:r w:rsidRPr="00A4718F">
              <w:rPr>
                <w:sz w:val="28"/>
                <w:szCs w:val="28"/>
                <w:lang w:val="uk-UA" w:eastAsia="uk-UA"/>
              </w:rPr>
              <w:t>Знання законодавства у сфері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718F" w:rsidRPr="00A4718F" w:rsidRDefault="00A4718F" w:rsidP="00A4718F">
            <w:pPr>
              <w:tabs>
                <w:tab w:val="left" w:pos="3330"/>
              </w:tabs>
              <w:jc w:val="both"/>
              <w:rPr>
                <w:sz w:val="28"/>
                <w:szCs w:val="28"/>
                <w:lang w:val="uk-UA"/>
              </w:rPr>
            </w:pPr>
            <w:r w:rsidRPr="00A4718F">
              <w:rPr>
                <w:sz w:val="28"/>
                <w:szCs w:val="28"/>
                <w:lang w:val="uk-UA"/>
              </w:rPr>
              <w:t>Знання:</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органи і служби у справах дітей та спеціальні установи для дітей»;</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відпустки»;</w:t>
            </w:r>
          </w:p>
          <w:p w:rsidR="00A4718F" w:rsidRPr="00A4718F" w:rsidRDefault="00A4718F" w:rsidP="00A4718F">
            <w:pPr>
              <w:tabs>
                <w:tab w:val="left" w:pos="3330"/>
              </w:tabs>
              <w:jc w:val="both"/>
              <w:rPr>
                <w:sz w:val="28"/>
                <w:szCs w:val="28"/>
                <w:lang w:val="uk-UA"/>
              </w:rPr>
            </w:pPr>
            <w:r w:rsidRPr="00A4718F">
              <w:rPr>
                <w:sz w:val="28"/>
                <w:szCs w:val="28"/>
                <w:lang w:val="uk-UA"/>
              </w:rPr>
              <w:t>Бюджетний кодекс України;</w:t>
            </w:r>
          </w:p>
          <w:p w:rsidR="00A4718F" w:rsidRPr="00A4718F" w:rsidRDefault="00A4718F" w:rsidP="00A4718F">
            <w:pPr>
              <w:tabs>
                <w:tab w:val="left" w:pos="3330"/>
              </w:tabs>
              <w:jc w:val="both"/>
              <w:rPr>
                <w:sz w:val="28"/>
                <w:szCs w:val="28"/>
                <w:lang w:val="uk-UA"/>
              </w:rPr>
            </w:pPr>
            <w:r w:rsidRPr="00A4718F">
              <w:rPr>
                <w:sz w:val="28"/>
                <w:szCs w:val="28"/>
                <w:lang w:val="uk-UA"/>
              </w:rPr>
              <w:t>Податковий кодекс України;</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державний бюджет України» на відповідний період;</w:t>
            </w:r>
          </w:p>
          <w:p w:rsidR="00A4718F" w:rsidRPr="00A4718F" w:rsidRDefault="00A4718F" w:rsidP="00A4718F">
            <w:pPr>
              <w:tabs>
                <w:tab w:val="left" w:pos="3330"/>
              </w:tabs>
              <w:jc w:val="both"/>
              <w:rPr>
                <w:sz w:val="28"/>
                <w:szCs w:val="28"/>
                <w:lang w:val="uk-UA"/>
              </w:rPr>
            </w:pPr>
            <w:r w:rsidRPr="00A4718F">
              <w:rPr>
                <w:sz w:val="28"/>
                <w:szCs w:val="28"/>
                <w:lang w:val="uk-UA"/>
              </w:rPr>
              <w:t>Закону України «Про бухгалтерський облік та фінансову звітність в Україні»;</w:t>
            </w:r>
          </w:p>
          <w:p w:rsidR="00A4718F" w:rsidRPr="00A4718F" w:rsidRDefault="00A4718F" w:rsidP="00A4718F">
            <w:pPr>
              <w:tabs>
                <w:tab w:val="left" w:pos="3330"/>
              </w:tabs>
              <w:jc w:val="both"/>
              <w:rPr>
                <w:sz w:val="28"/>
                <w:szCs w:val="28"/>
                <w:lang w:val="uk-UA"/>
              </w:rPr>
            </w:pPr>
            <w:r w:rsidRPr="00A4718F">
              <w:rPr>
                <w:sz w:val="28"/>
                <w:szCs w:val="28"/>
                <w:lang w:val="uk-UA"/>
              </w:rPr>
              <w:t>Національні положення (стандарти) бухгалтерського обліку в державному секторі та план рахунків бухгалтерського обліку бюджетних установ;</w:t>
            </w:r>
          </w:p>
          <w:p w:rsidR="00FE7DB0" w:rsidRPr="00173A0F" w:rsidRDefault="00A4718F" w:rsidP="00B325F5">
            <w:pPr>
              <w:spacing w:after="240"/>
              <w:ind w:left="96" w:right="169"/>
              <w:jc w:val="both"/>
              <w:rPr>
                <w:color w:val="FF0000"/>
                <w:sz w:val="28"/>
                <w:szCs w:val="28"/>
                <w:lang w:val="uk-UA" w:eastAsia="ru-RU"/>
              </w:rPr>
            </w:pPr>
            <w:r w:rsidRPr="00A4718F">
              <w:rPr>
                <w:sz w:val="28"/>
                <w:szCs w:val="28"/>
                <w:lang w:val="uk-UA"/>
              </w:rPr>
              <w:t>Інші постанови та розпорядження Кабінету Міністрів України, підзаконні нормативно-правові акти органів виконавчої влади, вищого рівня, що регулюють бюджетні відносини і фінансово-господарську діяльність бюджетних установ та порядок казначейського обслуговування.</w:t>
            </w:r>
          </w:p>
        </w:tc>
      </w:tr>
    </w:tbl>
    <w:p w:rsidR="008E1AE5" w:rsidRPr="00173A0F" w:rsidRDefault="008E1AE5">
      <w:pPr>
        <w:rPr>
          <w:color w:val="FF0000"/>
          <w:sz w:val="28"/>
          <w:szCs w:val="28"/>
          <w:lang w:val="uk-UA"/>
        </w:rPr>
      </w:pPr>
    </w:p>
    <w:p w:rsidR="008D65F2" w:rsidRPr="00326AAC" w:rsidRDefault="008D65F2">
      <w:pPr>
        <w:rPr>
          <w:color w:val="FF0000"/>
          <w:sz w:val="28"/>
          <w:szCs w:val="28"/>
          <w:lang w:val="uk-UA"/>
        </w:rPr>
      </w:pPr>
      <w:bookmarkStart w:id="2" w:name="_GoBack"/>
      <w:bookmarkEnd w:id="2"/>
    </w:p>
    <w:sectPr w:rsidR="008D65F2" w:rsidRPr="00326AAC" w:rsidSect="000B7EB5">
      <w:pgSz w:w="11906" w:h="16838"/>
      <w:pgMar w:top="794" w:right="56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C0A3E"/>
    <w:multiLevelType w:val="hybridMultilevel"/>
    <w:tmpl w:val="1978536C"/>
    <w:lvl w:ilvl="0" w:tplc="D9AC3A9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C81DB8"/>
    <w:multiLevelType w:val="hybridMultilevel"/>
    <w:tmpl w:val="307A2AD4"/>
    <w:lvl w:ilvl="0" w:tplc="0116EC98">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3B740971"/>
    <w:multiLevelType w:val="hybridMultilevel"/>
    <w:tmpl w:val="102E3346"/>
    <w:lvl w:ilvl="0" w:tplc="B5BA31DC">
      <w:start w:val="4"/>
      <w:numFmt w:val="bullet"/>
      <w:lvlText w:val="-"/>
      <w:lvlJc w:val="left"/>
      <w:pPr>
        <w:ind w:left="456" w:hanging="360"/>
      </w:pPr>
      <w:rPr>
        <w:rFonts w:ascii="Times New Roman" w:eastAsia="Times New Roman" w:hAnsi="Times New Roman" w:cs="Times New Roman" w:hint="default"/>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4">
    <w:nsid w:val="4C465DA5"/>
    <w:multiLevelType w:val="hybridMultilevel"/>
    <w:tmpl w:val="EFDC64F8"/>
    <w:lvl w:ilvl="0" w:tplc="76226494">
      <w:start w:val="4"/>
      <w:numFmt w:val="bullet"/>
      <w:lvlText w:val="-"/>
      <w:lvlJc w:val="left"/>
      <w:pPr>
        <w:ind w:left="456" w:hanging="360"/>
      </w:pPr>
      <w:rPr>
        <w:rFonts w:ascii="Times New Roman" w:eastAsia="Times New Roman" w:hAnsi="Times New Roman" w:cs="Times New Roman" w:hint="default"/>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5">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52FE"/>
    <w:rsid w:val="0004686A"/>
    <w:rsid w:val="0005249A"/>
    <w:rsid w:val="000818A7"/>
    <w:rsid w:val="00094E4C"/>
    <w:rsid w:val="0009649B"/>
    <w:rsid w:val="000A04ED"/>
    <w:rsid w:val="000B1D9A"/>
    <w:rsid w:val="000B7EB5"/>
    <w:rsid w:val="000D04EF"/>
    <w:rsid w:val="000D2D79"/>
    <w:rsid w:val="000E0FDE"/>
    <w:rsid w:val="000E26B1"/>
    <w:rsid w:val="0010208E"/>
    <w:rsid w:val="00113267"/>
    <w:rsid w:val="0011679B"/>
    <w:rsid w:val="00173A0F"/>
    <w:rsid w:val="001B7ED7"/>
    <w:rsid w:val="001C26A9"/>
    <w:rsid w:val="001C3F3C"/>
    <w:rsid w:val="001E036C"/>
    <w:rsid w:val="001E4D11"/>
    <w:rsid w:val="001F18E9"/>
    <w:rsid w:val="002051DB"/>
    <w:rsid w:val="00206C40"/>
    <w:rsid w:val="002200AB"/>
    <w:rsid w:val="00223C0A"/>
    <w:rsid w:val="002336DA"/>
    <w:rsid w:val="002513B5"/>
    <w:rsid w:val="00267452"/>
    <w:rsid w:val="002A3EF1"/>
    <w:rsid w:val="002B0C36"/>
    <w:rsid w:val="002B33E9"/>
    <w:rsid w:val="002F6116"/>
    <w:rsid w:val="00316C6A"/>
    <w:rsid w:val="00326AAC"/>
    <w:rsid w:val="00343B36"/>
    <w:rsid w:val="003667D8"/>
    <w:rsid w:val="003C0E23"/>
    <w:rsid w:val="003D223F"/>
    <w:rsid w:val="003D52FE"/>
    <w:rsid w:val="0040747C"/>
    <w:rsid w:val="004143F6"/>
    <w:rsid w:val="00436228"/>
    <w:rsid w:val="0044506A"/>
    <w:rsid w:val="00491E24"/>
    <w:rsid w:val="00496B3D"/>
    <w:rsid w:val="004C02F0"/>
    <w:rsid w:val="004C7860"/>
    <w:rsid w:val="004F245F"/>
    <w:rsid w:val="0052408B"/>
    <w:rsid w:val="00527392"/>
    <w:rsid w:val="005318CE"/>
    <w:rsid w:val="0053488D"/>
    <w:rsid w:val="005576D7"/>
    <w:rsid w:val="00572C55"/>
    <w:rsid w:val="005759E8"/>
    <w:rsid w:val="005B3104"/>
    <w:rsid w:val="005B50C0"/>
    <w:rsid w:val="005E1443"/>
    <w:rsid w:val="00617BE7"/>
    <w:rsid w:val="00625682"/>
    <w:rsid w:val="006537B2"/>
    <w:rsid w:val="0066542D"/>
    <w:rsid w:val="006A796E"/>
    <w:rsid w:val="006D2033"/>
    <w:rsid w:val="006F635B"/>
    <w:rsid w:val="007B0046"/>
    <w:rsid w:val="007C3E48"/>
    <w:rsid w:val="007F00C5"/>
    <w:rsid w:val="0083282B"/>
    <w:rsid w:val="008D1BCD"/>
    <w:rsid w:val="008D4609"/>
    <w:rsid w:val="008D65F2"/>
    <w:rsid w:val="008E1AE5"/>
    <w:rsid w:val="008E2837"/>
    <w:rsid w:val="00905C92"/>
    <w:rsid w:val="00922A63"/>
    <w:rsid w:val="00935607"/>
    <w:rsid w:val="00963912"/>
    <w:rsid w:val="00966A68"/>
    <w:rsid w:val="009733C3"/>
    <w:rsid w:val="00984BE0"/>
    <w:rsid w:val="009B2D63"/>
    <w:rsid w:val="009E3060"/>
    <w:rsid w:val="00A01817"/>
    <w:rsid w:val="00A139DF"/>
    <w:rsid w:val="00A2304A"/>
    <w:rsid w:val="00A30C32"/>
    <w:rsid w:val="00A4718F"/>
    <w:rsid w:val="00A91C88"/>
    <w:rsid w:val="00AB772C"/>
    <w:rsid w:val="00AD6001"/>
    <w:rsid w:val="00B046B3"/>
    <w:rsid w:val="00B06E22"/>
    <w:rsid w:val="00B325F5"/>
    <w:rsid w:val="00B35C4D"/>
    <w:rsid w:val="00B71713"/>
    <w:rsid w:val="00B719ED"/>
    <w:rsid w:val="00B912A2"/>
    <w:rsid w:val="00BB4E19"/>
    <w:rsid w:val="00BF15CE"/>
    <w:rsid w:val="00C40F35"/>
    <w:rsid w:val="00CC047B"/>
    <w:rsid w:val="00CC46DE"/>
    <w:rsid w:val="00CC6356"/>
    <w:rsid w:val="00D27CBA"/>
    <w:rsid w:val="00D55A96"/>
    <w:rsid w:val="00D67A4B"/>
    <w:rsid w:val="00D85D11"/>
    <w:rsid w:val="00D95DDF"/>
    <w:rsid w:val="00D97131"/>
    <w:rsid w:val="00DA32EA"/>
    <w:rsid w:val="00DC4D9A"/>
    <w:rsid w:val="00DD67F9"/>
    <w:rsid w:val="00DF030C"/>
    <w:rsid w:val="00E028DE"/>
    <w:rsid w:val="00E155D7"/>
    <w:rsid w:val="00E21D92"/>
    <w:rsid w:val="00E46D42"/>
    <w:rsid w:val="00E604B5"/>
    <w:rsid w:val="00F04BDB"/>
    <w:rsid w:val="00F30D79"/>
    <w:rsid w:val="00FB1695"/>
    <w:rsid w:val="00FB4436"/>
    <w:rsid w:val="00FD735E"/>
    <w:rsid w:val="00FE7DB0"/>
    <w:rsid w:val="00FF2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выноски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708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C0D24-F35C-4EE7-9E57-1A8F9E15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986</Words>
  <Characters>5625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Admin</cp:lastModifiedBy>
  <cp:revision>31</cp:revision>
  <cp:lastPrinted>2022-07-04T09:48:00Z</cp:lastPrinted>
  <dcterms:created xsi:type="dcterms:W3CDTF">2022-07-25T07:42:00Z</dcterms:created>
  <dcterms:modified xsi:type="dcterms:W3CDTF">2022-11-28T07:53:00Z</dcterms:modified>
</cp:coreProperties>
</file>