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6946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Додаток 1</w:t>
      </w:r>
    </w:p>
    <w:p>
      <w:pPr>
        <w:spacing w:before="0" w:after="0" w:line="240"/>
        <w:ind w:right="-72" w:left="6946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520" w:leader="none"/>
          <w:tab w:val="left" w:pos="8662" w:leader="none"/>
          <w:tab w:val="left" w:pos="8804" w:leader="none"/>
          <w:tab w:val="left" w:pos="8946" w:leader="none"/>
        </w:tabs>
        <w:spacing w:before="0" w:after="0" w:line="240"/>
        <w:ind w:right="-924" w:left="56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ЗАТВЕРДЖЕНО</w:t>
      </w:r>
    </w:p>
    <w:p>
      <w:pPr>
        <w:tabs>
          <w:tab w:val="left" w:pos="8520" w:leader="none"/>
          <w:tab w:val="left" w:pos="8662" w:leader="none"/>
          <w:tab w:val="left" w:pos="8804" w:leader="none"/>
          <w:tab w:val="left" w:pos="8946" w:leader="none"/>
        </w:tabs>
        <w:spacing w:before="0" w:after="0" w:line="240"/>
        <w:ind w:right="-924" w:left="56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наказом Управління житлово-комунального господарства Подільської районної в місті Києві державної адміністрації</w:t>
      </w:r>
    </w:p>
    <w:p>
      <w:pPr>
        <w:tabs>
          <w:tab w:val="left" w:pos="8520" w:leader="none"/>
          <w:tab w:val="left" w:pos="8662" w:leader="none"/>
          <w:tab w:val="left" w:pos="8804" w:leader="none"/>
          <w:tab w:val="left" w:pos="8946" w:leader="none"/>
        </w:tabs>
        <w:spacing w:before="0" w:after="0" w:line="240"/>
        <w:ind w:right="-924" w:left="568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 23.02.2022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</w:t>
      </w:r>
    </w:p>
    <w:p>
      <w:pPr>
        <w:spacing w:before="0" w:after="0" w:line="240"/>
        <w:ind w:right="450" w:left="45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FFFFFF" w:val="clear"/>
        </w:rPr>
      </w:pPr>
    </w:p>
    <w:p>
      <w:pPr>
        <w:spacing w:before="0" w:after="0" w:line="240"/>
        <w:ind w:right="450" w:left="45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УМОВИ</w:t>
      </w:r>
    </w:p>
    <w:p>
      <w:pPr>
        <w:spacing w:before="0" w:after="0" w:line="240"/>
        <w:ind w:right="450" w:left="45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проведення конкурсу на зайняття посади державної служби                     категорії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головного спеціаліста відділу  контролю за благоустроєм управління житлово-комунального господарства Подільської районної в місті Києві державної адміністрації</w:t>
      </w:r>
    </w:p>
    <w:p>
      <w:pPr>
        <w:spacing w:before="0" w:after="0" w:line="240"/>
        <w:ind w:right="45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"/>
          <w:shd w:fill="FFFFFF" w:val="clear"/>
        </w:rPr>
      </w:pPr>
    </w:p>
    <w:tbl>
      <w:tblPr/>
      <w:tblGrid>
        <w:gridCol w:w="396"/>
        <w:gridCol w:w="2834"/>
        <w:gridCol w:w="6928"/>
        <w:gridCol w:w="2543"/>
      </w:tblGrid>
      <w:tr>
        <w:trPr>
          <w:trHeight w:val="306" w:hRule="auto"/>
          <w:jc w:val="left"/>
        </w:trPr>
        <w:tc>
          <w:tcPr>
            <w:tcW w:w="1270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Загальні умови</w:t>
            </w:r>
          </w:p>
        </w:tc>
      </w:tr>
      <w:tr>
        <w:trPr>
          <w:trHeight w:val="551" w:hRule="auto"/>
          <w:jc w:val="left"/>
        </w:trPr>
        <w:tc>
          <w:tcPr>
            <w:tcW w:w="32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Посадові обов’язки</w:t>
            </w:r>
          </w:p>
        </w:tc>
        <w:tc>
          <w:tcPr>
            <w:tcW w:w="6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Приймання особистої участі у вирішені питань благоустрою та дизайну контрольованих ним територій та закріплених, згідно з розподілом обов’язків по відділу, здійснення систематичного обстеження закріпленої території з метою перевірки стану утримання об’єктів благоустрою, санітарно-технічного стану територій, розміщення малих архітектурних форм та об’єктів зовнішньої реклами та недопущення порушень благоустрою, запрошення до заступника начальника управління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начальника відділу посадових та фізичних осіб для з’ясування питань, пов’язаних з порушенням правил благоустрою утримання об’єктів району.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Складання протоколів при виявленні порушень правил благоустрою про адміністративні правопорушення на посадових і фізичних осіб та надання приписів, доручень або надсилання факсограми за підписом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заступника начальника управління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начальника відділу про усунення порушень благоустрою.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Організація та забезпечення контролю, аналіз та оцінка стану справ на відповідному напрямі діяльності. Приймання відвідувачів, надання їм необхідної консультації з порядку оформлення документів.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Розробка пропозицій, комплексів заходів, які стосуються належного утримання закріпленої території, контроль організації їх виконання.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Організація та проведення нарад, семінарів, конференцій з відповідних питань.</w:t>
            </w:r>
          </w:p>
          <w:p>
            <w:pPr>
              <w:spacing w:before="15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Розгляд листів та заяв підприємств, установ, організацій, юридичних і фізичних осіб, виконавчих комітетів та звернення громадян з питань благоустрою, що належать до посадових функцій.</w:t>
            </w:r>
          </w:p>
        </w:tc>
      </w:tr>
      <w:tr>
        <w:trPr>
          <w:trHeight w:val="70" w:hRule="auto"/>
          <w:jc w:val="left"/>
        </w:trPr>
        <w:tc>
          <w:tcPr>
            <w:tcW w:w="32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Умови оплати праці</w:t>
            </w:r>
          </w:p>
        </w:tc>
        <w:tc>
          <w:tcPr>
            <w:tcW w:w="6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7" w:left="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посадовий оклад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грн.;</w:t>
            </w:r>
          </w:p>
          <w:p>
            <w:pPr>
              <w:spacing w:before="0" w:after="0" w:line="240"/>
              <w:ind w:right="127" w:left="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2)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надбавка за ранг державного службовця</w:t>
              <w:br/>
              <w:t xml:space="preserve">відповідно до постанови Кабінету Міністрів України від 18 січня 2017 року         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Питання оплати праці працівників державних органів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3)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надбавки, доплати та премії відповідно до статті 52 Закону України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 державну службу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842" w:hRule="auto"/>
          <w:jc w:val="left"/>
        </w:trPr>
        <w:tc>
          <w:tcPr>
            <w:tcW w:w="32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Інформація про строковість чи безстроковість призначення на посаду</w:t>
            </w:r>
          </w:p>
        </w:tc>
        <w:tc>
          <w:tcPr>
            <w:tcW w:w="6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5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Безстроково, строк призначення особи, яка 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>
        <w:trPr>
          <w:trHeight w:val="1" w:hRule="atLeast"/>
          <w:jc w:val="left"/>
        </w:trPr>
        <w:tc>
          <w:tcPr>
            <w:tcW w:w="32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Перелік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інформації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необхідних для участі в конкурсі, та строк їх подання</w:t>
            </w:r>
          </w:p>
        </w:tc>
        <w:tc>
          <w:tcPr>
            <w:tcW w:w="6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7" w:left="5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Особа, яка бажає взяти участь у конкурсі, подає через Єдиний портал вакансій державної служби таку інформацію:</w:t>
            </w:r>
          </w:p>
          <w:p>
            <w:pPr>
              <w:spacing w:before="0" w:after="0" w:line="240"/>
              <w:ind w:right="124" w:left="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заява про участь у конкурсі із зазначенням основних мотивів щодо зайняття посади державної служби за формою згідно з 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додатком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Порядку проведення конкурсу на зайняття посад державної служби, затвердженого постановою Кабінету Міністрів України від 25 березня 2016 р.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246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із змінами);</w:t>
            </w:r>
          </w:p>
          <w:p>
            <w:pPr>
              <w:spacing w:before="0" w:after="0" w:line="240"/>
              <w:ind w:right="124" w:left="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резюме за формою згідно з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додатком 2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Порядку проведення конкурсу на зайняття посад державної служби, затвердженого постановою Кабінету Міністрів України від 25 березня 2016 р.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246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із змінами), в якому обов’язково зазначається така інформація:</w:t>
            </w:r>
          </w:p>
          <w:p>
            <w:pPr>
              <w:spacing w:before="0" w:after="0" w:line="240"/>
              <w:ind w:right="124" w:left="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прізвище, ім’я, по батькові кандидата;</w:t>
            </w:r>
          </w:p>
          <w:p>
            <w:pPr>
              <w:spacing w:before="0" w:after="0" w:line="240"/>
              <w:ind w:right="124" w:left="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реквізити документа, що посвідчує особу та підтверджує громадянство України;</w:t>
            </w:r>
          </w:p>
          <w:p>
            <w:pPr>
              <w:spacing w:before="0" w:after="0" w:line="240"/>
              <w:ind w:right="124" w:left="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підтвердження наявності відповідного ступеня вищої освіти;</w:t>
            </w:r>
          </w:p>
          <w:p>
            <w:pPr>
              <w:spacing w:before="0" w:after="0" w:line="240"/>
              <w:ind w:right="124" w:left="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відомості про стаж роботи, стаж державної служби (за наявності), досвід роботи на відповідних посадах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 на керівних посадах (за наявності відповідних вимог);</w:t>
            </w:r>
          </w:p>
          <w:p>
            <w:pPr>
              <w:spacing w:before="0" w:after="0" w:line="240"/>
              <w:ind w:right="124" w:left="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заява, в якій особа повідомляє, що до неї не застосовуються заборони, визначені частиною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третьою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або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четвертою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24" w:left="5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)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tabs>
                <w:tab w:val="left" w:pos="612" w:leader="none"/>
              </w:tabs>
              <w:spacing w:before="0" w:after="0" w:line="240"/>
              <w:ind w:right="127" w:left="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Подача додатків до заяви не є обов’язковою.</w:t>
            </w:r>
          </w:p>
          <w:p>
            <w:pPr>
              <w:spacing w:before="150" w:after="150" w:line="240"/>
              <w:ind w:right="135" w:left="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Інформація приймаються до 17 год. 00 хв. 02 березня  2022 року</w:t>
            </w:r>
          </w:p>
        </w:tc>
      </w:tr>
      <w:tr>
        <w:trPr>
          <w:trHeight w:val="984" w:hRule="auto"/>
          <w:jc w:val="left"/>
        </w:trPr>
        <w:tc>
          <w:tcPr>
            <w:tcW w:w="32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Додаткові (необов’язкові) документи</w:t>
            </w:r>
          </w:p>
        </w:tc>
        <w:tc>
          <w:tcPr>
            <w:tcW w:w="6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>
        <w:trPr>
          <w:trHeight w:val="4710" w:hRule="auto"/>
          <w:jc w:val="left"/>
        </w:trPr>
        <w:tc>
          <w:tcPr>
            <w:tcW w:w="32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і час початку проведення тестування кандидатів.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Місце або спосіб проведення тестування.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Місце або спосіб проведення співбесіди (із зазначенням електронної платформи для комунікації дистанційно).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6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березня  2022 року об 11 год. 00 хв.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Управління житлово-комунального господарства Подільської районної в місті Києві державної адміністрації.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 Київ, вул. Костянтинівська, 22/17, 3-й поверх (проведення тестування за фізичної присутності кандидатів).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Управління житлово-комунального господарства Подільської районної в місті Києві державної адміністрації.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 Київ, вул. Костянтинівська, 22/17, 3-й поверх (проведення співбесіди за фізичної присутності кандидатів).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</w:r>
          </w:p>
        </w:tc>
      </w:tr>
      <w:tr>
        <w:trPr>
          <w:trHeight w:val="2790" w:hRule="auto"/>
          <w:jc w:val="left"/>
        </w:trPr>
        <w:tc>
          <w:tcPr>
            <w:tcW w:w="32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6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Управління житлово-комунального господарства Подільської районної в місті Києві державної адміністрації.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 Київ, вул. Костянтинівська, 22/17, 3-й поверх (проведення співбесіди за фізичної присутності кандидатів).</w:t>
            </w:r>
          </w:p>
        </w:tc>
      </w:tr>
      <w:tr>
        <w:trPr>
          <w:trHeight w:val="1756" w:hRule="auto"/>
          <w:jc w:val="left"/>
        </w:trPr>
        <w:tc>
          <w:tcPr>
            <w:tcW w:w="32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Прізвище, ім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</w:tabs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Дяченко Валентина Петрівна  т.425-11-40, </w:t>
            </w:r>
            <w:r>
              <w:rPr>
                <w:rFonts w:ascii="Times New Roman" w:hAnsi="Times New Roman" w:cs="Times New Roman" w:eastAsia="Times New Roman"/>
                <w:color w:val="303030"/>
                <w:spacing w:val="0"/>
                <w:position w:val="0"/>
                <w:sz w:val="24"/>
                <w:shd w:fill="FFFFFF" w:val="clear"/>
              </w:rPr>
              <w:t xml:space="preserve">ujkg_podilrda@kmda.gov.ua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 </w:t>
            </w:r>
          </w:p>
          <w:p>
            <w:pPr>
              <w:tabs>
                <w:tab w:val="left" w:pos="720" w:leader="none"/>
              </w:tabs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 дату і час проведення кожного етапу конкурсу учасники конкурсу будуть повідомлені додатково.</w:t>
            </w:r>
          </w:p>
          <w:p>
            <w:pPr>
              <w:tabs>
                <w:tab w:val="left" w:pos="720" w:leader="none"/>
              </w:tabs>
              <w:spacing w:before="100" w:after="10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70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Кваліфікаційні вимоги</w:t>
            </w:r>
          </w:p>
        </w:tc>
      </w:tr>
      <w:tr>
        <w:trPr>
          <w:trHeight w:val="1" w:hRule="atLeast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Освіта</w:t>
            </w:r>
          </w:p>
        </w:tc>
        <w:tc>
          <w:tcPr>
            <w:tcW w:w="94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Вища за освітнім ступенем не нижче молодшого бакалавра або бакалавра.</w:t>
            </w:r>
          </w:p>
        </w:tc>
      </w:tr>
      <w:tr>
        <w:trPr>
          <w:trHeight w:val="1" w:hRule="atLeast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Досвід роботи</w:t>
            </w:r>
          </w:p>
        </w:tc>
        <w:tc>
          <w:tcPr>
            <w:tcW w:w="94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потребує</w:t>
            </w:r>
          </w:p>
        </w:tc>
      </w:tr>
      <w:tr>
        <w:trPr>
          <w:trHeight w:val="1" w:hRule="atLeast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Володіння державною мовою</w:t>
            </w:r>
          </w:p>
        </w:tc>
        <w:tc>
          <w:tcPr>
            <w:tcW w:w="94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Вільне володіння державною мовою.</w:t>
            </w:r>
          </w:p>
        </w:tc>
      </w:tr>
      <w:tr>
        <w:trPr>
          <w:trHeight w:val="1" w:hRule="atLeast"/>
          <w:jc w:val="left"/>
        </w:trPr>
        <w:tc>
          <w:tcPr>
            <w:tcW w:w="1270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Вимоги до компетентності</w:t>
            </w:r>
          </w:p>
        </w:tc>
      </w:tr>
      <w:tr>
        <w:trPr>
          <w:trHeight w:val="1" w:hRule="atLeast"/>
          <w:jc w:val="left"/>
        </w:trPr>
        <w:tc>
          <w:tcPr>
            <w:tcW w:w="32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Вимога</w:t>
            </w:r>
          </w:p>
        </w:tc>
        <w:tc>
          <w:tcPr>
            <w:tcW w:w="94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Компоненти вимоги</w:t>
            </w:r>
          </w:p>
        </w:tc>
      </w:tr>
      <w:tr>
        <w:trPr>
          <w:trHeight w:val="1" w:hRule="atLeast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Цифрова грамотність</w:t>
            </w:r>
          </w:p>
        </w:tc>
        <w:tc>
          <w:tcPr>
            <w:tcW w:w="94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6"/>
              </w:numPr>
              <w:spacing w:before="0" w:after="0" w:line="240"/>
              <w:ind w:right="0" w:left="420" w:hanging="360"/>
              <w:jc w:val="both"/>
              <w:rPr>
                <w:rFonts w:ascii="Times New Roman" w:hAnsi="Times New Roman" w:cs="Times New Roman" w:eastAsia="Times New Roman"/>
                <w:color w:val="C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>
            <w:pPr>
              <w:numPr>
                <w:ilvl w:val="0"/>
                <w:numId w:val="66"/>
              </w:numPr>
              <w:spacing w:before="0" w:after="0" w:line="240"/>
              <w:ind w:right="0" w:left="420" w:hanging="360"/>
              <w:jc w:val="both"/>
              <w:rPr>
                <w:rFonts w:ascii="Times New Roman" w:hAnsi="Times New Roman" w:cs="Times New Roman" w:eastAsia="Times New Roman"/>
                <w:color w:val="C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</w:t>
            </w:r>
          </w:p>
          <w:p>
            <w:pPr>
              <w:numPr>
                <w:ilvl w:val="0"/>
                <w:numId w:val="66"/>
              </w:numPr>
              <w:spacing w:before="0" w:after="0" w:line="240"/>
              <w:ind w:right="0" w:left="4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>
            <w:pPr>
              <w:numPr>
                <w:ilvl w:val="0"/>
                <w:numId w:val="66"/>
              </w:numPr>
              <w:spacing w:before="0" w:after="0" w:line="240"/>
              <w:ind w:right="0" w:left="4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>
            <w:pPr>
              <w:numPr>
                <w:ilvl w:val="0"/>
                <w:numId w:val="66"/>
              </w:numPr>
              <w:spacing w:before="0" w:after="0" w:line="240"/>
              <w:ind w:right="0" w:left="4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здатність використовувати відкриті цифрові ресурси для власного професійного розвитку.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Необхідні ділові якості</w:t>
            </w:r>
          </w:p>
        </w:tc>
        <w:tc>
          <w:tcPr>
            <w:tcW w:w="94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вміння працювати в команді;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вміння працювати з великими масивами інформації;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орієнтація на досягнення кінцевих результатів;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вміння надавати та аргументувати пропозиції;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вміння вирішувати комплексні завдання;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оперативність;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здатність приймати зміни та змінюватись.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Необхідні особисті компетенції</w:t>
            </w:r>
          </w:p>
        </w:tc>
        <w:tc>
          <w:tcPr>
            <w:tcW w:w="94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відповідальність;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дисциплінованість;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пунктуальність;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уважність до деталей;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порядність;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незалежність та ініціативність;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вміння працювати в стресових ситуаціях.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70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Професійні знання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Вимога</w:t>
            </w:r>
          </w:p>
        </w:tc>
        <w:tc>
          <w:tcPr>
            <w:tcW w:w="94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Компоненти вимоги</w:t>
            </w:r>
          </w:p>
        </w:tc>
      </w:tr>
      <w:tr>
        <w:trPr>
          <w:trHeight w:val="1" w:hRule="atLeast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Знання законодавства</w:t>
            </w:r>
          </w:p>
        </w:tc>
        <w:tc>
          <w:tcPr>
            <w:tcW w:w="94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Конституція України;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Закон України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 державну службу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Закон України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 запобігання корупції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</w:p>
        </w:tc>
        <w:tc>
          <w:tcPr>
            <w:tcW w:w="2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Знання законодавства у сфері</w:t>
            </w:r>
          </w:p>
        </w:tc>
        <w:tc>
          <w:tcPr>
            <w:tcW w:w="94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Закон України "Про столицю України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місто-герой Київ", "Про місцеве самоврядування в Україні", "Про місцеві державні адміністрації", "Про благоустрій населених пунктів" та "Правилами благоустрою міста Києва", Закон України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 звернення громадян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Закон України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 доступ до публічної інформації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</w:tbl>
    <w:p>
      <w:pPr>
        <w:spacing w:before="0" w:after="0" w:line="240"/>
        <w:ind w:right="45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14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14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Начальник управління </w:t>
        <w:tab/>
        <w:t xml:space="preserve">                     </w:t>
        <w:tab/>
        <w:tab/>
        <w:tab/>
        <w:t xml:space="preserve">                </w:t>
        <w:tab/>
        <w:t xml:space="preserve">           Ігор СМАРОВОЗ</w:t>
      </w:r>
    </w:p>
    <w:p>
      <w:pPr>
        <w:spacing w:before="0" w:after="0" w:line="240"/>
        <w:ind w:right="0" w:left="-14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zakon.rada.gov.ua/laws/show/246-2016-%D0%BF" Id="docRId1" Type="http://schemas.openxmlformats.org/officeDocument/2006/relationships/hyperlink" /><Relationship TargetMode="External" Target="https://zakon.rada.gov.ua/laws/show/1682-18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zakon.rada.gov.ua/laws/show/246-2016-%D0%BF" Id="docRId0" Type="http://schemas.openxmlformats.org/officeDocument/2006/relationships/hyperlink" /><Relationship TargetMode="External" Target="https://zakon.rada.gov.ua/laws/show/1682-18" Id="docRId2" Type="http://schemas.openxmlformats.org/officeDocument/2006/relationships/hyperlink" /><Relationship Target="numbering.xml" Id="docRId4" Type="http://schemas.openxmlformats.org/officeDocument/2006/relationships/numbering" /></Relationships>
</file>