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2B0C36">
        <w:rPr>
          <w:b/>
          <w:sz w:val="28"/>
          <w:szCs w:val="28"/>
          <w:lang w:val="uk-UA" w:eastAsia="ru-RU"/>
        </w:rPr>
        <w:t xml:space="preserve"> вакантн</w:t>
      </w:r>
      <w:r w:rsidR="005E1443">
        <w:rPr>
          <w:b/>
          <w:sz w:val="28"/>
          <w:szCs w:val="28"/>
          <w:lang w:val="uk-UA" w:eastAsia="ru-RU"/>
        </w:rPr>
        <w:t>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5E1443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5E1443">
        <w:rPr>
          <w:b/>
          <w:sz w:val="28"/>
          <w:szCs w:val="28"/>
          <w:lang w:val="uk-UA" w:eastAsia="ru-RU"/>
        </w:rPr>
        <w:t xml:space="preserve">головного спеціаліста відділу </w:t>
      </w:r>
      <w:r w:rsidR="00DE624B">
        <w:rPr>
          <w:b/>
          <w:sz w:val="28"/>
          <w:szCs w:val="28"/>
          <w:lang w:val="uk-UA" w:eastAsia="ru-RU"/>
        </w:rPr>
        <w:t>з питань профілактики та організації роботи із запобігання дитячій бездоглядності</w:t>
      </w:r>
      <w:r w:rsidR="005E1443">
        <w:rPr>
          <w:b/>
          <w:sz w:val="28"/>
          <w:szCs w:val="28"/>
          <w:lang w:val="uk-UA" w:eastAsia="ru-RU"/>
        </w:rPr>
        <w:t xml:space="preserve"> Служби у справах дітей та сім’ї </w:t>
      </w:r>
      <w:r w:rsidR="002B0C36">
        <w:rPr>
          <w:b/>
          <w:sz w:val="28"/>
          <w:szCs w:val="28"/>
          <w:lang w:val="uk-UA" w:eastAsia="ru-RU"/>
        </w:rPr>
        <w:t xml:space="preserve">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849"/>
        <w:gridCol w:w="6207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F82365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80387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380387"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="00380387" w:rsidRPr="00380387">
              <w:rPr>
                <w:noProof/>
                <w:sz w:val="28"/>
                <w:szCs w:val="28"/>
                <w:lang w:val="uk-UA" w:eastAsia="ru-RU"/>
              </w:rPr>
              <w:t>організація та проведення в межах своїх повноважень разом з іншими структурними підрозділами заходів щодо соціально-правового захисту дітей, виявлення причин, що зумовлюють дитячу бездоглядність та безпритульність, запобігання вчиненню дітьми правопорушень та проведення індивідуальних профілактичних бесід з учнями загальноосвітніх шкіл</w:t>
            </w:r>
            <w:r w:rsidRPr="00380387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F27297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27297"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="004C02F0" w:rsidRPr="00F27297">
              <w:rPr>
                <w:noProof/>
                <w:sz w:val="28"/>
                <w:szCs w:val="28"/>
                <w:lang w:val="uk-UA" w:eastAsia="ru-RU"/>
              </w:rPr>
              <w:t xml:space="preserve">Надання </w:t>
            </w:r>
            <w:r w:rsidR="00380387" w:rsidRPr="00F27297">
              <w:rPr>
                <w:noProof/>
                <w:sz w:val="28"/>
                <w:szCs w:val="28"/>
                <w:lang w:val="uk-UA" w:eastAsia="ru-RU"/>
              </w:rPr>
              <w:t xml:space="preserve">місцевим органам виконавчої влади, підприємствам, установам та організаціям у межах своїх повноважень практичну, методичну та консультативну допомогу і </w:t>
            </w:r>
            <w:r w:rsidR="00F27297" w:rsidRPr="00F27297">
              <w:rPr>
                <w:noProof/>
                <w:sz w:val="28"/>
                <w:szCs w:val="28"/>
                <w:lang w:val="uk-UA" w:eastAsia="ru-RU"/>
              </w:rPr>
              <w:t>координація їх зусилля у вирішенні питання щодо соціального захисту дітей та запобігання вчиненню ними правопорушень</w:t>
            </w:r>
            <w:r w:rsidR="00E46D42" w:rsidRPr="00F27297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FF5E98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8B50C3">
              <w:rPr>
                <w:noProof/>
                <w:sz w:val="28"/>
                <w:szCs w:val="28"/>
                <w:lang w:val="uk-UA" w:eastAsia="ru-RU"/>
              </w:rPr>
              <w:t>3.</w:t>
            </w:r>
            <w:r w:rsidR="00F27297" w:rsidRPr="008B50C3">
              <w:rPr>
                <w:noProof/>
                <w:sz w:val="28"/>
                <w:szCs w:val="28"/>
                <w:lang w:val="uk-UA" w:eastAsia="ru-RU"/>
              </w:rPr>
              <w:t>Здійснення контролю за дотриманням законодавства про працю неповнолітніх на підприємствах, установах та організаціях усіх форм власності. Розгляд звернень власників підприємств, установ або організацій усіх форм власності та надання</w:t>
            </w:r>
            <w:r w:rsidR="008B50C3" w:rsidRPr="008B50C3">
              <w:rPr>
                <w:noProof/>
                <w:sz w:val="28"/>
                <w:szCs w:val="28"/>
                <w:lang w:val="uk-UA" w:eastAsia="ru-RU"/>
              </w:rPr>
              <w:t xml:space="preserve"> письмового дозволу щодо звільнення/відрахування працівника/учня молодше 18 </w:t>
            </w:r>
            <w:r w:rsidR="008B50C3" w:rsidRPr="00FF5E98">
              <w:rPr>
                <w:noProof/>
                <w:sz w:val="28"/>
                <w:szCs w:val="28"/>
                <w:lang w:val="uk-UA" w:eastAsia="ru-RU"/>
              </w:rPr>
              <w:t>років</w:t>
            </w:r>
            <w:r w:rsidRPr="00FF5E98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FF5E98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F5E98"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="008B50C3" w:rsidRPr="00FF5E98">
              <w:rPr>
                <w:noProof/>
                <w:sz w:val="28"/>
                <w:szCs w:val="28"/>
                <w:lang w:val="uk-UA" w:eastAsia="ru-RU"/>
              </w:rPr>
              <w:t>Розгляд в установленому порядку звернень громадян.У межах своєї компетенції</w:t>
            </w:r>
            <w:r w:rsidR="00FF5E98" w:rsidRPr="00FF5E98">
              <w:rPr>
                <w:noProof/>
                <w:sz w:val="28"/>
                <w:szCs w:val="28"/>
                <w:lang w:val="uk-UA" w:eastAsia="ru-RU"/>
              </w:rPr>
              <w:t xml:space="preserve"> підготовка проектів відповідей на листи організацій</w:t>
            </w:r>
            <w:r w:rsidRPr="00FF5E98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FF5E98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F5E98"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="00FF5E98" w:rsidRPr="00FF5E98">
              <w:rPr>
                <w:noProof/>
                <w:sz w:val="28"/>
                <w:szCs w:val="28"/>
                <w:lang w:val="uk-UA" w:eastAsia="ru-RU"/>
              </w:rPr>
              <w:t>Організація роботи з укомплектування, зберігання, обліку та використання архівних документів відділу</w:t>
            </w:r>
            <w:r w:rsidRPr="00FF5E98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FF5E98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F5E98"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="00FF5E98" w:rsidRPr="00FF5E98">
              <w:rPr>
                <w:noProof/>
                <w:sz w:val="28"/>
                <w:szCs w:val="28"/>
                <w:lang w:val="uk-UA" w:eastAsia="ru-RU"/>
              </w:rPr>
              <w:t>Здійснення інспектування сімей, які опинилися у складних життєвих обставинах, під час яких, проводити обстеження житлово-побутових умов проживання та складання відповідних актів.</w:t>
            </w:r>
          </w:p>
          <w:p w:rsidR="002B0C36" w:rsidRPr="00F82365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82365"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="00FF5E98" w:rsidRPr="00F82365">
              <w:rPr>
                <w:noProof/>
                <w:sz w:val="28"/>
                <w:szCs w:val="28"/>
                <w:lang w:val="uk-UA" w:eastAsia="ru-RU"/>
              </w:rPr>
              <w:t>За дорученням голови Подільської районної в місті Києві державної адміністрації брати участь у розгляді судами справ щодо дітей і захисту їх прав та інтересів, представляти</w:t>
            </w:r>
            <w:r w:rsidR="00F82365" w:rsidRPr="00F82365">
              <w:rPr>
                <w:noProof/>
                <w:sz w:val="28"/>
                <w:szCs w:val="28"/>
                <w:lang w:val="uk-UA" w:eastAsia="ru-RU"/>
              </w:rPr>
              <w:t xml:space="preserve"> права </w:t>
            </w:r>
            <w:r w:rsidR="00F82365" w:rsidRPr="00F82365">
              <w:rPr>
                <w:noProof/>
                <w:sz w:val="28"/>
                <w:szCs w:val="28"/>
                <w:lang w:val="uk-UA" w:eastAsia="ru-RU"/>
              </w:rPr>
              <w:lastRenderedPageBreak/>
              <w:t>дітей в суді</w:t>
            </w:r>
            <w:r w:rsidR="006A796E" w:rsidRPr="00F82365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F82365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82365"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="00F82365" w:rsidRPr="00F82365">
              <w:rPr>
                <w:noProof/>
                <w:sz w:val="28"/>
                <w:szCs w:val="28"/>
                <w:lang w:val="uk-UA" w:eastAsia="ru-RU"/>
              </w:rPr>
              <w:t>Відповідальність за ведення діловодства в Службі у справах дітей та сім’ї через систему електронного документообігу</w:t>
            </w:r>
            <w:r w:rsidRPr="00F82365">
              <w:rPr>
                <w:noProof/>
                <w:sz w:val="28"/>
                <w:szCs w:val="28"/>
                <w:lang w:val="uk-UA" w:eastAsia="ru-RU"/>
              </w:rPr>
              <w:t>.</w:t>
            </w:r>
          </w:p>
          <w:p w:rsidR="002B0C36" w:rsidRPr="00F82365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F82365"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="00F82365" w:rsidRPr="00F82365">
              <w:rPr>
                <w:noProof/>
                <w:sz w:val="28"/>
                <w:szCs w:val="28"/>
                <w:lang w:val="uk-UA" w:eastAsia="ru-RU"/>
              </w:rPr>
              <w:t>Здійснення профілактичних заходів щодо виявлення сімей, які опинились в складних життєвих обставинах. Ведення державної статистики щодо дітей.</w:t>
            </w:r>
          </w:p>
          <w:p w:rsidR="002B0C36" w:rsidRPr="004C02F0" w:rsidRDefault="002B0C36" w:rsidP="00F82365">
            <w:pPr>
              <w:spacing w:after="240"/>
              <w:ind w:right="169" w:firstLine="307"/>
              <w:jc w:val="both"/>
              <w:rPr>
                <w:noProof/>
                <w:color w:val="FF0000"/>
                <w:sz w:val="28"/>
                <w:szCs w:val="28"/>
                <w:lang w:val="uk-UA" w:eastAsia="ru-RU"/>
              </w:rPr>
            </w:pPr>
            <w:r w:rsidRPr="00F82365"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="00F82365" w:rsidRPr="00F82365">
              <w:rPr>
                <w:noProof/>
                <w:sz w:val="28"/>
                <w:szCs w:val="28"/>
                <w:lang w:val="uk-UA" w:eastAsia="ru-RU"/>
              </w:rPr>
              <w:t>Підготовка інформаційно-аналітичних і статистичних матеріалів, про причини та умови вчинення дітьми правопорушень</w:t>
            </w:r>
            <w:r w:rsidRPr="00F82365">
              <w:rPr>
                <w:noProof/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38038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E21D92">
            <w:pPr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>
              <w:rPr>
                <w:sz w:val="28"/>
                <w:szCs w:val="28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E21D92" w:rsidRDefault="00E21D92" w:rsidP="006537B2">
            <w:pPr>
              <w:ind w:left="307" w:right="128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Кравченко Тетяна Анатоліївна</w:t>
            </w:r>
          </w:p>
          <w:p w:rsidR="002B0C36" w:rsidRPr="00E21D92" w:rsidRDefault="002B0C36" w:rsidP="006537B2">
            <w:pPr>
              <w:ind w:left="307" w:right="128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(0</w:t>
            </w:r>
            <w:r w:rsidR="00E21D92" w:rsidRPr="00E21D92">
              <w:rPr>
                <w:sz w:val="28"/>
                <w:szCs w:val="28"/>
                <w:lang w:val="uk-UA" w:eastAsia="ru-RU"/>
              </w:rPr>
              <w:t>44</w:t>
            </w:r>
            <w:r w:rsidRPr="00E21D92">
              <w:rPr>
                <w:sz w:val="28"/>
                <w:szCs w:val="28"/>
                <w:lang w:val="uk-UA" w:eastAsia="ru-RU"/>
              </w:rPr>
              <w:t xml:space="preserve">) </w:t>
            </w:r>
            <w:r w:rsidR="00E21D92" w:rsidRPr="00E21D92">
              <w:rPr>
                <w:sz w:val="28"/>
                <w:szCs w:val="28"/>
                <w:lang w:val="uk-UA" w:eastAsia="ru-RU"/>
              </w:rPr>
              <w:t>425 00 18</w:t>
            </w:r>
          </w:p>
          <w:p w:rsidR="00E21D92" w:rsidRPr="00E21D92" w:rsidRDefault="00E21D92" w:rsidP="006537B2">
            <w:pPr>
              <w:pStyle w:val="a6"/>
              <w:ind w:left="0"/>
              <w:rPr>
                <w:i/>
                <w:sz w:val="28"/>
                <w:szCs w:val="28"/>
                <w:lang w:val="ru-RU"/>
              </w:rPr>
            </w:pPr>
            <w:r w:rsidRPr="00E21D92">
              <w:rPr>
                <w:i/>
                <w:sz w:val="28"/>
                <w:szCs w:val="28"/>
                <w:lang w:val="uk-UA"/>
              </w:rPr>
              <w:t xml:space="preserve">      </w:t>
            </w:r>
            <w:r w:rsidRPr="00E21D92">
              <w:rPr>
                <w:i/>
                <w:sz w:val="28"/>
                <w:szCs w:val="28"/>
              </w:rPr>
              <w:t>podilssd</w:t>
            </w:r>
            <w:r w:rsidRPr="00E21D92">
              <w:rPr>
                <w:i/>
                <w:sz w:val="28"/>
                <w:szCs w:val="28"/>
                <w:lang w:val="ru-RU"/>
              </w:rPr>
              <w:t>@</w:t>
            </w:r>
            <w:r w:rsidRPr="00E21D92">
              <w:rPr>
                <w:i/>
                <w:sz w:val="28"/>
                <w:szCs w:val="28"/>
              </w:rPr>
              <w:t>ukr</w:t>
            </w:r>
            <w:r w:rsidRPr="00E21D92">
              <w:rPr>
                <w:i/>
                <w:sz w:val="28"/>
                <w:szCs w:val="28"/>
                <w:lang w:val="ru-RU"/>
              </w:rPr>
              <w:t>.</w:t>
            </w:r>
            <w:r w:rsidRPr="00E21D92">
              <w:rPr>
                <w:i/>
                <w:sz w:val="28"/>
                <w:szCs w:val="28"/>
              </w:rPr>
              <w:t>net</w:t>
            </w:r>
          </w:p>
          <w:p w:rsidR="0005249A" w:rsidRPr="00E21D92" w:rsidRDefault="0005249A" w:rsidP="006537B2">
            <w:pPr>
              <w:ind w:right="128" w:firstLine="307"/>
              <w:jc w:val="both"/>
              <w:rPr>
                <w:color w:val="FF0000"/>
                <w:sz w:val="28"/>
                <w:szCs w:val="28"/>
                <w:lang w:val="ru-RU" w:eastAsia="ru-RU"/>
              </w:rPr>
            </w:pPr>
          </w:p>
          <w:p w:rsidR="0005249A" w:rsidRPr="004C02F0" w:rsidRDefault="0005249A" w:rsidP="00E21D92">
            <w:pPr>
              <w:ind w:right="128" w:firstLine="307"/>
              <w:jc w:val="both"/>
              <w:rPr>
                <w:color w:val="FF0000"/>
                <w:sz w:val="28"/>
                <w:szCs w:val="28"/>
                <w:u w:val="single"/>
                <w:lang w:val="uk-UA" w:eastAsia="ru-RU"/>
              </w:rPr>
            </w:pPr>
          </w:p>
          <w:p w:rsidR="002B0C36" w:rsidRPr="004C02F0" w:rsidRDefault="002B0C36" w:rsidP="00E21D92">
            <w:pPr>
              <w:ind w:right="128" w:firstLine="307"/>
              <w:jc w:val="both"/>
              <w:rPr>
                <w:b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E21D92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21D92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38038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E21D92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E21D92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E21D92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E21D92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E21D92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38038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E21D92" w:rsidRDefault="00E21D92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E21D92">
              <w:rPr>
                <w:sz w:val="28"/>
                <w:szCs w:val="28"/>
                <w:lang w:val="uk-UA" w:eastAsia="ru-RU"/>
              </w:rPr>
              <w:t>Без вимог до досвіду роботи.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06C40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120F3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2B0C36" w:rsidRPr="00206C40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06C40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06C40" w:rsidRPr="00380387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2B0C36" w:rsidRDefault="00206C40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здатність до чіткого бачення результату діяльності;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-вміння фокусувати зусилля для досягнення результату діяльності;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вміння запобігати та ефективно долати перешкоди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06C40" w:rsidRPr="00380387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2B0C36" w:rsidRDefault="00206C40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206C40" w:rsidRDefault="00206C40" w:rsidP="00C73264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206C40">
              <w:rPr>
                <w:sz w:val="28"/>
                <w:szCs w:val="28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2B0C36" w:rsidRPr="0038038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06C4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4C02F0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color w:val="FF0000"/>
                <w:sz w:val="28"/>
                <w:szCs w:val="28"/>
                <w:lang w:val="uk-UA" w:eastAsia="ru-RU"/>
              </w:rPr>
            </w:pPr>
            <w:r w:rsidRPr="00206C40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06C40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06C40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06C40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06C40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38038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Знання:</w:t>
            </w:r>
          </w:p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Конституції України;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jc w:val="both"/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запобігання корупції» та іншого законодавства;</w:t>
            </w:r>
          </w:p>
          <w:p w:rsidR="002B0C36" w:rsidRPr="004C02F0" w:rsidRDefault="002B0C36" w:rsidP="002B0C36">
            <w:pPr>
              <w:ind w:right="169" w:firstLine="307"/>
              <w:jc w:val="both"/>
              <w:rPr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2B0C36" w:rsidRPr="0038038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Знання: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звернення громадян»;</w:t>
            </w:r>
          </w:p>
          <w:p w:rsidR="000B1D9A" w:rsidRPr="000B1D9A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>Закону України «Про доступ до публічної інформації»;</w:t>
            </w:r>
          </w:p>
          <w:p w:rsidR="000B1D9A" w:rsidRPr="00C03452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0B1D9A">
              <w:rPr>
                <w:sz w:val="28"/>
                <w:szCs w:val="28"/>
                <w:lang w:val="uk-UA"/>
              </w:rPr>
              <w:t xml:space="preserve">Закону України «Про органи і служби у справах </w:t>
            </w:r>
            <w:r w:rsidRPr="00C03452">
              <w:rPr>
                <w:sz w:val="28"/>
                <w:szCs w:val="28"/>
                <w:lang w:val="uk-UA"/>
              </w:rPr>
              <w:t>дітей та спеціальні установи для дітей»;</w:t>
            </w:r>
          </w:p>
          <w:p w:rsidR="000B1D9A" w:rsidRPr="00C03452" w:rsidRDefault="000B1D9A" w:rsidP="000B1D9A">
            <w:pPr>
              <w:tabs>
                <w:tab w:val="left" w:pos="3330"/>
              </w:tabs>
              <w:rPr>
                <w:sz w:val="28"/>
                <w:szCs w:val="28"/>
                <w:lang w:val="uk-UA"/>
              </w:rPr>
            </w:pPr>
            <w:r w:rsidRPr="00C03452">
              <w:rPr>
                <w:sz w:val="28"/>
                <w:szCs w:val="28"/>
                <w:lang w:val="uk-UA"/>
              </w:rPr>
              <w:t>Закону України «Про охорону дитинства»;</w:t>
            </w:r>
          </w:p>
          <w:p w:rsidR="00C03452" w:rsidRPr="00C03452" w:rsidRDefault="00C03452" w:rsidP="00C03452">
            <w:pPr>
              <w:tabs>
                <w:tab w:val="left" w:pos="8265"/>
              </w:tabs>
              <w:rPr>
                <w:sz w:val="28"/>
                <w:szCs w:val="28"/>
                <w:lang w:val="uk-UA"/>
              </w:rPr>
            </w:pPr>
            <w:r w:rsidRPr="00C03452">
              <w:rPr>
                <w:sz w:val="28"/>
                <w:szCs w:val="28"/>
                <w:lang w:val="uk-UA"/>
              </w:rPr>
              <w:t xml:space="preserve"> Закон України «Про освіту»; </w:t>
            </w:r>
          </w:p>
          <w:p w:rsidR="00C03452" w:rsidRPr="00C03452" w:rsidRDefault="00C03452" w:rsidP="00C03452">
            <w:pPr>
              <w:tabs>
                <w:tab w:val="left" w:pos="8265"/>
              </w:tabs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03452">
              <w:rPr>
                <w:sz w:val="28"/>
                <w:szCs w:val="28"/>
                <w:lang w:val="uk-UA"/>
              </w:rPr>
              <w:t xml:space="preserve">- постанова Кабінету Міністрів України від  </w:t>
            </w:r>
            <w:r w:rsidRPr="00C03452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24 </w:t>
            </w:r>
            <w:r w:rsidRPr="00C03452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вересня 2008 р. № 866  «Питання діяльності органів опіки та піклування, пов'язаної із захистом прав дитини»;</w:t>
            </w:r>
          </w:p>
          <w:p w:rsidR="002B0C36" w:rsidRPr="004C02F0" w:rsidRDefault="00C03452" w:rsidP="00C03452">
            <w:pPr>
              <w:spacing w:after="240"/>
              <w:ind w:left="13" w:right="169"/>
              <w:jc w:val="both"/>
              <w:rPr>
                <w:color w:val="FF0000"/>
                <w:sz w:val="28"/>
                <w:szCs w:val="28"/>
                <w:lang w:val="uk-UA" w:eastAsia="ru-RU"/>
              </w:rPr>
            </w:pPr>
            <w:r w:rsidRPr="00C03452">
              <w:rPr>
                <w:color w:val="000000"/>
                <w:sz w:val="28"/>
                <w:szCs w:val="28"/>
                <w:lang w:val="uk-UA"/>
              </w:rPr>
              <w:t>інші постанови та розпорядження Кабінету Міністрів України,  підзаконні нормативно-правові акти органів виконавчої влади вищого рівня, що регулюють розвиток відповідних сфер (галузей) управління, практику застосування чинного законодавства, що належать до компетенції Служби.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Pr="000B1D9A" w:rsidRDefault="008D65F2">
      <w:pPr>
        <w:rPr>
          <w:lang w:val="uk-UA"/>
        </w:rPr>
      </w:pPr>
      <w:bookmarkStart w:id="2" w:name="_GoBack"/>
      <w:bookmarkEnd w:id="2"/>
    </w:p>
    <w:sectPr w:rsidR="008D65F2" w:rsidRPr="000B1D9A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52FE"/>
    <w:rsid w:val="0004686A"/>
    <w:rsid w:val="0005249A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B7ED7"/>
    <w:rsid w:val="001C26A9"/>
    <w:rsid w:val="001C3F3C"/>
    <w:rsid w:val="001E036C"/>
    <w:rsid w:val="001F18E9"/>
    <w:rsid w:val="00206C40"/>
    <w:rsid w:val="002120F3"/>
    <w:rsid w:val="002200AB"/>
    <w:rsid w:val="00223C0A"/>
    <w:rsid w:val="002513B5"/>
    <w:rsid w:val="002B0C36"/>
    <w:rsid w:val="002C173F"/>
    <w:rsid w:val="003667D8"/>
    <w:rsid w:val="00380387"/>
    <w:rsid w:val="003C0E23"/>
    <w:rsid w:val="003D223F"/>
    <w:rsid w:val="003D52FE"/>
    <w:rsid w:val="004143F6"/>
    <w:rsid w:val="00436228"/>
    <w:rsid w:val="0044506A"/>
    <w:rsid w:val="00491E24"/>
    <w:rsid w:val="004C02F0"/>
    <w:rsid w:val="004C7860"/>
    <w:rsid w:val="0052408B"/>
    <w:rsid w:val="00527392"/>
    <w:rsid w:val="005318CE"/>
    <w:rsid w:val="0053488D"/>
    <w:rsid w:val="00551D82"/>
    <w:rsid w:val="005576D7"/>
    <w:rsid w:val="00572C55"/>
    <w:rsid w:val="005759E8"/>
    <w:rsid w:val="005B3104"/>
    <w:rsid w:val="005E1443"/>
    <w:rsid w:val="00617BE7"/>
    <w:rsid w:val="006537B2"/>
    <w:rsid w:val="0066542D"/>
    <w:rsid w:val="006A796E"/>
    <w:rsid w:val="006F635B"/>
    <w:rsid w:val="007C3E48"/>
    <w:rsid w:val="0083282B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B2D63"/>
    <w:rsid w:val="009E3060"/>
    <w:rsid w:val="00A139DF"/>
    <w:rsid w:val="00A2304A"/>
    <w:rsid w:val="00A91C88"/>
    <w:rsid w:val="00AB772C"/>
    <w:rsid w:val="00B06E22"/>
    <w:rsid w:val="00B35C4D"/>
    <w:rsid w:val="00B719ED"/>
    <w:rsid w:val="00BB4E19"/>
    <w:rsid w:val="00BF15CE"/>
    <w:rsid w:val="00C03452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6D42"/>
    <w:rsid w:val="00F04BDB"/>
    <w:rsid w:val="00F27297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3EE0-BC0D-464A-B556-94105A0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Admin</cp:lastModifiedBy>
  <cp:revision>2</cp:revision>
  <cp:lastPrinted>2022-07-04T09:48:00Z</cp:lastPrinted>
  <dcterms:created xsi:type="dcterms:W3CDTF">2022-07-25T11:22:00Z</dcterms:created>
  <dcterms:modified xsi:type="dcterms:W3CDTF">2022-07-25T11:22:00Z</dcterms:modified>
</cp:coreProperties>
</file>