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DE" w:rsidRPr="00325A03" w:rsidRDefault="005318C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274E20" w:rsidRDefault="000E0FDE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="009F209F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9F209F">
        <w:rPr>
          <w:b/>
          <w:sz w:val="28"/>
          <w:szCs w:val="28"/>
          <w:lang w:val="uk-UA" w:eastAsia="ru-RU"/>
        </w:rPr>
        <w:t xml:space="preserve"> </w:t>
      </w:r>
    </w:p>
    <w:p w:rsidR="00274E20" w:rsidRDefault="009F209F" w:rsidP="00274E20">
      <w:pPr>
        <w:spacing w:line="264" w:lineRule="auto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відділу культури</w:t>
      </w:r>
      <w:r w:rsidR="00AF0574">
        <w:rPr>
          <w:b/>
          <w:sz w:val="28"/>
          <w:szCs w:val="28"/>
          <w:lang w:val="uk-UA" w:eastAsia="ru-RU"/>
        </w:rPr>
        <w:t xml:space="preserve"> </w:t>
      </w:r>
      <w:r w:rsidR="00AC265D" w:rsidRPr="00325A0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</w:p>
    <w:p w:rsidR="00A2304A" w:rsidRPr="00237270" w:rsidRDefault="00A2304A" w:rsidP="00274E20">
      <w:pPr>
        <w:spacing w:line="264" w:lineRule="auto"/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Pr="00325A03">
        <w:rPr>
          <w:b/>
          <w:sz w:val="28"/>
          <w:szCs w:val="28"/>
          <w:lang w:val="uk-UA" w:eastAsia="ru-RU"/>
        </w:rPr>
        <w:t>»)</w:t>
      </w: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0F41E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4D35C6" w:rsidRDefault="00D67FE5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E6A8A">
              <w:rPr>
                <w:sz w:val="25"/>
                <w:szCs w:val="25"/>
                <w:lang w:val="uk-UA" w:eastAsia="ru-RU"/>
              </w:rPr>
              <w:t xml:space="preserve">- </w:t>
            </w:r>
            <w:r w:rsidR="008B33DE">
              <w:rPr>
                <w:sz w:val="25"/>
                <w:szCs w:val="25"/>
                <w:lang w:val="uk-UA" w:eastAsia="ru-RU"/>
              </w:rPr>
              <w:t>о</w:t>
            </w:r>
            <w:r w:rsidR="00FA25D6" w:rsidRPr="00FA25D6">
              <w:rPr>
                <w:sz w:val="25"/>
                <w:szCs w:val="25"/>
                <w:lang w:val="uk-UA" w:eastAsia="ru-RU"/>
              </w:rPr>
              <w:t>рганізація роботи з питань управління персоналом,</w:t>
            </w:r>
            <w:r w:rsidR="004D35C6">
              <w:rPr>
                <w:sz w:val="25"/>
                <w:szCs w:val="25"/>
                <w:lang w:val="uk-UA" w:eastAsia="ru-RU"/>
              </w:rPr>
              <w:t xml:space="preserve"> ведення відповідної документації та обліку;</w:t>
            </w:r>
          </w:p>
          <w:p w:rsidR="004D35C6" w:rsidRPr="004D35C6" w:rsidRDefault="004D35C6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ED10DA" w:rsidRDefault="004D35C6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-</w:t>
            </w:r>
            <w:r w:rsidR="00FA25D6" w:rsidRPr="00FA25D6">
              <w:rPr>
                <w:sz w:val="25"/>
                <w:szCs w:val="25"/>
                <w:lang w:val="uk-UA" w:eastAsia="ru-RU"/>
              </w:rPr>
              <w:t xml:space="preserve"> </w:t>
            </w:r>
            <w:r>
              <w:rPr>
                <w:sz w:val="25"/>
                <w:szCs w:val="25"/>
                <w:lang w:val="uk-UA" w:eastAsia="ru-RU"/>
              </w:rPr>
              <w:t xml:space="preserve">забезпечення </w:t>
            </w:r>
            <w:r w:rsidR="00FA25D6" w:rsidRPr="00FA25D6">
              <w:rPr>
                <w:sz w:val="25"/>
                <w:szCs w:val="25"/>
                <w:lang w:val="uk-UA" w:eastAsia="ru-RU"/>
              </w:rPr>
              <w:t xml:space="preserve">мобілізаційної роботи, військового обліку </w:t>
            </w:r>
            <w:r w:rsidRPr="004D35C6">
              <w:rPr>
                <w:color w:val="000000"/>
                <w:sz w:val="25"/>
                <w:szCs w:val="25"/>
                <w:shd w:val="clear" w:color="auto" w:fill="FFFFFF"/>
                <w:lang w:val="uk-UA"/>
              </w:rPr>
              <w:t>призовників, військовозобов'язаних та резервістів, бронювання військовозобов'язаних на період мобілізації та на воєнний час</w:t>
            </w:r>
            <w:r w:rsidR="008B33DE">
              <w:rPr>
                <w:sz w:val="25"/>
                <w:szCs w:val="25"/>
                <w:lang w:val="uk-UA" w:eastAsia="ru-RU"/>
              </w:rPr>
              <w:t>;</w:t>
            </w:r>
          </w:p>
          <w:p w:rsidR="004D35C6" w:rsidRPr="004D35C6" w:rsidRDefault="004D35C6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8B33DE" w:rsidRDefault="008B33DE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- в</w:t>
            </w:r>
            <w:r w:rsidRPr="008B33DE">
              <w:rPr>
                <w:sz w:val="25"/>
                <w:szCs w:val="25"/>
                <w:lang w:val="uk-UA" w:eastAsia="ru-RU"/>
              </w:rPr>
              <w:t>едення загального діловодства та архівної справи</w:t>
            </w:r>
            <w:r>
              <w:rPr>
                <w:sz w:val="25"/>
                <w:szCs w:val="25"/>
                <w:lang w:val="uk-UA" w:eastAsia="ru-RU"/>
              </w:rPr>
              <w:t>;</w:t>
            </w:r>
          </w:p>
          <w:p w:rsidR="004D35C6" w:rsidRPr="004D35C6" w:rsidRDefault="004D35C6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8B33DE" w:rsidRDefault="008B33DE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Pr="008B33DE">
              <w:rPr>
                <w:sz w:val="25"/>
                <w:szCs w:val="25"/>
                <w:lang w:val="uk-UA" w:eastAsia="ru-RU"/>
              </w:rPr>
              <w:t>здійсн</w:t>
            </w:r>
            <w:r>
              <w:rPr>
                <w:sz w:val="25"/>
                <w:szCs w:val="25"/>
                <w:lang w:val="uk-UA" w:eastAsia="ru-RU"/>
              </w:rPr>
              <w:t>ення</w:t>
            </w:r>
            <w:r w:rsidRPr="008B33DE">
              <w:rPr>
                <w:sz w:val="25"/>
                <w:szCs w:val="25"/>
                <w:lang w:val="uk-UA" w:eastAsia="ru-RU"/>
              </w:rPr>
              <w:t xml:space="preserve"> координаці</w:t>
            </w:r>
            <w:r>
              <w:rPr>
                <w:sz w:val="25"/>
                <w:szCs w:val="25"/>
                <w:lang w:val="uk-UA" w:eastAsia="ru-RU"/>
              </w:rPr>
              <w:t>ї</w:t>
            </w:r>
            <w:r w:rsidRPr="008B33DE">
              <w:rPr>
                <w:sz w:val="25"/>
                <w:szCs w:val="25"/>
                <w:lang w:val="uk-UA" w:eastAsia="ru-RU"/>
              </w:rPr>
              <w:t xml:space="preserve"> та методичн</w:t>
            </w:r>
            <w:r>
              <w:rPr>
                <w:sz w:val="25"/>
                <w:szCs w:val="25"/>
                <w:lang w:val="uk-UA" w:eastAsia="ru-RU"/>
              </w:rPr>
              <w:t>ої</w:t>
            </w:r>
            <w:r w:rsidRPr="008B33DE">
              <w:rPr>
                <w:sz w:val="25"/>
                <w:szCs w:val="25"/>
                <w:lang w:val="uk-UA" w:eastAsia="ru-RU"/>
              </w:rPr>
              <w:t xml:space="preserve"> робот</w:t>
            </w:r>
            <w:r>
              <w:rPr>
                <w:sz w:val="25"/>
                <w:szCs w:val="25"/>
                <w:lang w:val="uk-UA" w:eastAsia="ru-RU"/>
              </w:rPr>
              <w:t>и</w:t>
            </w:r>
            <w:r w:rsidRPr="008B33DE">
              <w:rPr>
                <w:sz w:val="25"/>
                <w:szCs w:val="25"/>
                <w:lang w:val="uk-UA" w:eastAsia="ru-RU"/>
              </w:rPr>
              <w:t xml:space="preserve"> на певній ділянці одного чи декількох з напрямів роботи структурного підрозділу</w:t>
            </w:r>
            <w:r>
              <w:rPr>
                <w:sz w:val="25"/>
                <w:szCs w:val="25"/>
                <w:lang w:val="uk-UA" w:eastAsia="ru-RU"/>
              </w:rPr>
              <w:t>;</w:t>
            </w:r>
          </w:p>
          <w:p w:rsidR="004D35C6" w:rsidRPr="004D35C6" w:rsidRDefault="004D35C6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8B33DE" w:rsidRDefault="008B33DE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- з</w:t>
            </w:r>
            <w:r w:rsidRPr="008B33DE">
              <w:rPr>
                <w:sz w:val="25"/>
                <w:szCs w:val="25"/>
                <w:lang w:val="uk-UA" w:eastAsia="ru-RU"/>
              </w:rPr>
              <w:t>абезпечення виконання завдань та функцій щодо реалізації пріоритетних напрямів державної політики у сфері культури, туризму та охорони культурної спадщини</w:t>
            </w:r>
            <w:r>
              <w:rPr>
                <w:sz w:val="25"/>
                <w:szCs w:val="25"/>
                <w:lang w:val="uk-UA" w:eastAsia="ru-RU"/>
              </w:rPr>
              <w:t>;</w:t>
            </w:r>
          </w:p>
          <w:p w:rsidR="004D35C6" w:rsidRPr="004D35C6" w:rsidRDefault="004D35C6" w:rsidP="000F41E3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8B33DE" w:rsidRDefault="008B33DE" w:rsidP="000F41E3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- з</w:t>
            </w:r>
            <w:r w:rsidRPr="008B33DE">
              <w:rPr>
                <w:sz w:val="25"/>
                <w:szCs w:val="25"/>
                <w:lang w:val="uk-UA" w:eastAsia="ru-RU"/>
              </w:rPr>
              <w:t xml:space="preserve">абезпечення реалізації законодавства у сфері охорони культурної спадщини, яке відноситься до повноважень районних державних адміністрацій. Ведення внутрішнього обліку </w:t>
            </w:r>
            <w:proofErr w:type="spellStart"/>
            <w:r w:rsidRPr="008B33DE">
              <w:rPr>
                <w:sz w:val="25"/>
                <w:szCs w:val="25"/>
                <w:lang w:val="uk-UA" w:eastAsia="ru-RU"/>
              </w:rPr>
              <w:t>обєктів</w:t>
            </w:r>
            <w:proofErr w:type="spellEnd"/>
            <w:r w:rsidRPr="008B33DE">
              <w:rPr>
                <w:sz w:val="25"/>
                <w:szCs w:val="25"/>
                <w:lang w:val="uk-UA" w:eastAsia="ru-RU"/>
              </w:rPr>
              <w:t xml:space="preserve"> культурної спадщини, наявних та </w:t>
            </w:r>
            <w:proofErr w:type="spellStart"/>
            <w:r w:rsidRPr="008B33DE">
              <w:rPr>
                <w:sz w:val="25"/>
                <w:szCs w:val="25"/>
                <w:lang w:val="uk-UA" w:eastAsia="ru-RU"/>
              </w:rPr>
              <w:t>нововстановлених</w:t>
            </w:r>
            <w:proofErr w:type="spellEnd"/>
            <w:r w:rsidRPr="008B33DE">
              <w:rPr>
                <w:sz w:val="25"/>
                <w:szCs w:val="25"/>
                <w:lang w:val="uk-UA" w:eastAsia="ru-RU"/>
              </w:rPr>
              <w:t xml:space="preserve"> меморіальних </w:t>
            </w:r>
            <w:proofErr w:type="spellStart"/>
            <w:r w:rsidRPr="008B33DE">
              <w:rPr>
                <w:sz w:val="25"/>
                <w:szCs w:val="25"/>
                <w:lang w:val="uk-UA" w:eastAsia="ru-RU"/>
              </w:rPr>
              <w:t>дошок</w:t>
            </w:r>
            <w:proofErr w:type="spellEnd"/>
            <w:r w:rsidRPr="008B33DE">
              <w:rPr>
                <w:sz w:val="25"/>
                <w:szCs w:val="25"/>
                <w:lang w:val="uk-UA" w:eastAsia="ru-RU"/>
              </w:rPr>
              <w:t xml:space="preserve"> на території району. Інформування Департаменту охорони культурної спадщини Київської міської ради (Київської міської державної адміністрації), про пошкодження, руйнування, загрозу або можливу загрозу пошкодження, руйнування пам’яток, розташованих на території району, в межах компетенції</w:t>
            </w:r>
            <w:r w:rsidR="004D35C6">
              <w:rPr>
                <w:sz w:val="25"/>
                <w:szCs w:val="25"/>
                <w:lang w:val="uk-UA" w:eastAsia="ru-RU"/>
              </w:rPr>
              <w:t>;</w:t>
            </w:r>
          </w:p>
          <w:p w:rsidR="0077225F" w:rsidRPr="004D35C6" w:rsidRDefault="0077225F" w:rsidP="00ED10DA">
            <w:pPr>
              <w:jc w:val="both"/>
              <w:rPr>
                <w:sz w:val="20"/>
                <w:szCs w:val="20"/>
                <w:lang w:val="uk-UA" w:eastAsia="ru-RU"/>
              </w:rPr>
            </w:pPr>
          </w:p>
          <w:p w:rsidR="0077225F" w:rsidRPr="0077225F" w:rsidRDefault="0077225F" w:rsidP="0077225F">
            <w:pPr>
              <w:jc w:val="both"/>
              <w:rPr>
                <w:sz w:val="10"/>
                <w:szCs w:val="10"/>
                <w:shd w:val="clear" w:color="auto" w:fill="FFFFFF"/>
                <w:lang w:val="uk-UA"/>
              </w:rPr>
            </w:pPr>
            <w:r w:rsidRPr="002E6A8A">
              <w:rPr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Pr="0077225F">
              <w:rPr>
                <w:sz w:val="25"/>
                <w:szCs w:val="25"/>
                <w:lang w:val="uk-UA" w:eastAsia="ru-RU"/>
              </w:rPr>
              <w:t>виконання роботи, що вимагає особливої організаційно-виконавчої компетентності та відповідальності, результатом якої є підвищення ефективності роботи відділу, виконання термінових завдань керівництва, складних спеціалізованих завдань при вирішенні проблемних ситуацій</w:t>
            </w:r>
          </w:p>
          <w:p w:rsidR="0031233F" w:rsidRPr="008459C1" w:rsidRDefault="0031233F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</w:p>
        </w:tc>
      </w:tr>
      <w:tr w:rsidR="007A2B98" w:rsidRPr="000F41E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7D1A61" w:rsidRDefault="002E6A8A" w:rsidP="007D1A61">
            <w:pPr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П</w:t>
            </w:r>
            <w:r w:rsidR="007A2B98" w:rsidRPr="002626F9">
              <w:rPr>
                <w:sz w:val="25"/>
                <w:szCs w:val="25"/>
                <w:lang w:val="uk-UA" w:eastAsia="ru-RU"/>
              </w:rPr>
              <w:t xml:space="preserve">осадовий оклад – </w:t>
            </w:r>
            <w:r w:rsidR="00D70CFA">
              <w:rPr>
                <w:sz w:val="25"/>
                <w:szCs w:val="25"/>
                <w:lang w:val="uk-UA" w:eastAsia="ru-RU"/>
              </w:rPr>
              <w:t>1</w:t>
            </w:r>
            <w:r w:rsidR="00FA25D6">
              <w:rPr>
                <w:sz w:val="25"/>
                <w:szCs w:val="25"/>
                <w:lang w:val="uk-UA" w:eastAsia="ru-RU"/>
              </w:rPr>
              <w:t>4</w:t>
            </w:r>
            <w:r w:rsidR="001F5B38">
              <w:rPr>
                <w:sz w:val="25"/>
                <w:szCs w:val="25"/>
                <w:lang w:val="uk-UA" w:eastAsia="ru-RU"/>
              </w:rPr>
              <w:t> </w:t>
            </w:r>
            <w:r w:rsidR="00FA25D6">
              <w:rPr>
                <w:sz w:val="25"/>
                <w:szCs w:val="25"/>
                <w:lang w:val="uk-UA" w:eastAsia="ru-RU"/>
              </w:rPr>
              <w:t>771</w:t>
            </w:r>
            <w:r w:rsidR="001F5B38">
              <w:rPr>
                <w:sz w:val="25"/>
                <w:szCs w:val="25"/>
                <w:lang w:val="uk-UA" w:eastAsia="ru-RU"/>
              </w:rPr>
              <w:t>,00</w:t>
            </w:r>
            <w:r w:rsidR="007A2B98"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7D1A61" w:rsidRPr="00C1610F" w:rsidRDefault="007D1A61" w:rsidP="007D1A61">
            <w:pPr>
              <w:jc w:val="both"/>
              <w:rPr>
                <w:sz w:val="25"/>
                <w:szCs w:val="25"/>
                <w:lang w:val="uk-UA"/>
              </w:rPr>
            </w:pPr>
            <w:r w:rsidRPr="002A3103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2A3103">
              <w:rPr>
                <w:sz w:val="26"/>
                <w:szCs w:val="26"/>
                <w:lang w:val="uk-UA"/>
              </w:rPr>
              <w:br/>
              <w:t>Закону України «Про державну службу»</w:t>
            </w:r>
            <w:r w:rsidRPr="00C1610F">
              <w:rPr>
                <w:sz w:val="25"/>
                <w:szCs w:val="25"/>
                <w:lang w:val="uk-UA"/>
              </w:rPr>
              <w:t xml:space="preserve">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</w:t>
            </w:r>
            <w:r w:rsidRPr="00C1610F">
              <w:rPr>
                <w:sz w:val="25"/>
                <w:szCs w:val="25"/>
                <w:lang w:val="uk-UA"/>
              </w:rPr>
              <w:lastRenderedPageBreak/>
              <w:t>«Питання оплати праці державних службовців на основі класифікації посад у 2024 році»</w:t>
            </w:r>
          </w:p>
          <w:p w:rsidR="007A2B98" w:rsidRPr="002626F9" w:rsidRDefault="007D1A61" w:rsidP="00731432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A3103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</w:t>
            </w:r>
            <w:r w:rsidR="00731432">
              <w:rPr>
                <w:sz w:val="26"/>
                <w:szCs w:val="26"/>
                <w:lang w:val="uk-UA" w:eastAsia="ru-RU"/>
              </w:rPr>
              <w:t>зі</w:t>
            </w:r>
            <w:r w:rsidRPr="002A3103">
              <w:rPr>
                <w:sz w:val="26"/>
                <w:szCs w:val="26"/>
                <w:lang w:val="uk-UA" w:eastAsia="ru-RU"/>
              </w:rPr>
              <w:t xml:space="preserve"> змінами)</w:t>
            </w:r>
          </w:p>
        </w:tc>
      </w:tr>
      <w:tr w:rsidR="007A2B98" w:rsidRPr="000F41E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274E20" w:rsidRPr="000E4CBC" w:rsidRDefault="002A2CDD" w:rsidP="00325A03">
            <w:pPr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  <w:bookmarkStart w:id="2" w:name="_GoBack"/>
            <w:bookmarkEnd w:id="2"/>
          </w:p>
        </w:tc>
      </w:tr>
      <w:tr w:rsidR="007A2B98" w:rsidRPr="000F41E3" w:rsidTr="000B7EB5">
        <w:tc>
          <w:tcPr>
            <w:tcW w:w="3545" w:type="dxa"/>
            <w:gridSpan w:val="2"/>
          </w:tcPr>
          <w:p w:rsidR="0031233F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D70CFA" w:rsidRPr="003A63B4" w:rsidRDefault="00D70CFA" w:rsidP="00D70CFA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3A63B4">
              <w:rPr>
                <w:sz w:val="26"/>
                <w:szCs w:val="26"/>
                <w:lang w:val="uk-UA" w:eastAsia="ru-RU"/>
              </w:rPr>
              <w:t>Лисенко Віталіна Леонідівна,</w:t>
            </w:r>
          </w:p>
          <w:p w:rsidR="00D70CFA" w:rsidRPr="003A63B4" w:rsidRDefault="00D70CFA" w:rsidP="00D70CFA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3A63B4">
              <w:rPr>
                <w:sz w:val="26"/>
                <w:szCs w:val="26"/>
                <w:lang w:val="uk-UA" w:eastAsia="ru-RU"/>
              </w:rPr>
              <w:t>т. (044)425 51 75</w:t>
            </w:r>
          </w:p>
          <w:p w:rsidR="007A2B98" w:rsidRPr="000F41E3" w:rsidRDefault="000F41E3" w:rsidP="00D70CFA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proofErr w:type="spellStart"/>
            <w:r w:rsidRPr="000F41E3">
              <w:rPr>
                <w:i/>
                <w:sz w:val="25"/>
                <w:szCs w:val="25"/>
              </w:rPr>
              <w:t>vk</w:t>
            </w:r>
            <w:proofErr w:type="spellEnd"/>
            <w:r w:rsidRPr="000F41E3">
              <w:rPr>
                <w:i/>
                <w:sz w:val="25"/>
                <w:szCs w:val="25"/>
                <w:lang w:val="uk-UA"/>
              </w:rPr>
              <w:t>_</w:t>
            </w:r>
            <w:proofErr w:type="spellStart"/>
            <w:r w:rsidRPr="000F41E3">
              <w:rPr>
                <w:i/>
                <w:sz w:val="25"/>
                <w:szCs w:val="25"/>
              </w:rPr>
              <w:t>podilrda</w:t>
            </w:r>
            <w:proofErr w:type="spellEnd"/>
            <w:r w:rsidRPr="000F41E3">
              <w:rPr>
                <w:i/>
                <w:sz w:val="25"/>
                <w:szCs w:val="25"/>
                <w:lang w:val="uk-UA"/>
              </w:rPr>
              <w:t>@</w:t>
            </w:r>
            <w:proofErr w:type="spellStart"/>
            <w:r w:rsidRPr="000F41E3">
              <w:rPr>
                <w:i/>
                <w:sz w:val="25"/>
                <w:szCs w:val="25"/>
              </w:rPr>
              <w:t>kmda</w:t>
            </w:r>
            <w:proofErr w:type="spellEnd"/>
            <w:r w:rsidRPr="000F41E3">
              <w:rPr>
                <w:i/>
                <w:sz w:val="25"/>
                <w:szCs w:val="25"/>
                <w:lang w:val="uk-UA"/>
              </w:rPr>
              <w:t>.</w:t>
            </w:r>
            <w:proofErr w:type="spellStart"/>
            <w:r w:rsidRPr="000F41E3">
              <w:rPr>
                <w:i/>
                <w:sz w:val="25"/>
                <w:szCs w:val="25"/>
              </w:rPr>
              <w:t>gov</w:t>
            </w:r>
            <w:proofErr w:type="spellEnd"/>
            <w:r w:rsidRPr="000F41E3">
              <w:rPr>
                <w:i/>
                <w:sz w:val="25"/>
                <w:szCs w:val="25"/>
                <w:lang w:val="uk-UA"/>
              </w:rPr>
              <w:t>.</w:t>
            </w:r>
            <w:proofErr w:type="spellStart"/>
            <w:r w:rsidRPr="000F41E3">
              <w:rPr>
                <w:i/>
                <w:sz w:val="25"/>
                <w:szCs w:val="25"/>
              </w:rPr>
              <w:t>ua</w:t>
            </w:r>
            <w:proofErr w:type="spellEnd"/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74E20" w:rsidRDefault="007A2B98" w:rsidP="007A2B98">
            <w:pPr>
              <w:jc w:val="center"/>
              <w:rPr>
                <w:b/>
                <w:sz w:val="14"/>
                <w:szCs w:val="14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0F41E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C0029D" w:rsidRDefault="00207000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0F41E3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B70F75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70F75" w:rsidRPr="000F41E3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B70F75" w:rsidRPr="009B4A26" w:rsidRDefault="00B70F75" w:rsidP="00B70F75">
            <w:pPr>
              <w:tabs>
                <w:tab w:val="left" w:pos="37"/>
              </w:tabs>
              <w:ind w:right="125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6804" w:type="dxa"/>
          </w:tcPr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B70F75" w:rsidRPr="009B4A26" w:rsidRDefault="00B70F75" w:rsidP="00B70F7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</w:t>
            </w:r>
            <w:proofErr w:type="spellStart"/>
            <w:r w:rsidRPr="009B4A26">
              <w:rPr>
                <w:sz w:val="26"/>
                <w:szCs w:val="26"/>
                <w:lang w:val="uk-UA"/>
              </w:rPr>
              <w:t>самомотивації</w:t>
            </w:r>
            <w:proofErr w:type="spellEnd"/>
            <w:r w:rsidRPr="009B4A26">
              <w:rPr>
                <w:sz w:val="26"/>
                <w:szCs w:val="26"/>
                <w:lang w:val="uk-UA"/>
              </w:rPr>
              <w:t xml:space="preserve"> (самоуправління);</w:t>
            </w:r>
          </w:p>
          <w:p w:rsidR="00B70F75" w:rsidRPr="009B4A26" w:rsidRDefault="00B70F75" w:rsidP="00B70F75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B70F75" w:rsidRPr="000F41E3" w:rsidTr="000B7EB5">
        <w:tc>
          <w:tcPr>
            <w:tcW w:w="710" w:type="dxa"/>
          </w:tcPr>
          <w:p w:rsidR="00B70F75" w:rsidRPr="00325A03" w:rsidRDefault="00B70F75" w:rsidP="00B70F75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B70F75" w:rsidRPr="00325A03" w:rsidRDefault="00B70F75" w:rsidP="00B70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70F75" w:rsidRPr="008975BE" w:rsidRDefault="00B70F75" w:rsidP="00B70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  <w:r>
              <w:rPr>
                <w:color w:val="000000"/>
                <w:sz w:val="25"/>
                <w:szCs w:val="25"/>
                <w:lang w:val="uk-UA"/>
              </w:rPr>
              <w:t>.</w:t>
            </w:r>
          </w:p>
        </w:tc>
      </w:tr>
      <w:tr w:rsidR="005D390D" w:rsidRPr="00B70F75" w:rsidTr="000B7EB5">
        <w:tc>
          <w:tcPr>
            <w:tcW w:w="710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835" w:type="dxa"/>
          </w:tcPr>
          <w:p w:rsidR="005D390D" w:rsidRPr="009B4A26" w:rsidRDefault="005D390D" w:rsidP="005D390D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804" w:type="dxa"/>
          </w:tcPr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lastRenderedPageBreak/>
              <w:t xml:space="preserve"> - вміння запобігати та ефективно долати перешкоди;</w:t>
            </w:r>
          </w:p>
          <w:p w:rsidR="005D390D" w:rsidRPr="009B4A26" w:rsidRDefault="005D390D" w:rsidP="005D390D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5D390D" w:rsidRPr="000F41E3" w:rsidTr="000B7EB5">
        <w:tc>
          <w:tcPr>
            <w:tcW w:w="710" w:type="dxa"/>
          </w:tcPr>
          <w:p w:rsidR="005D390D" w:rsidRPr="008610A8" w:rsidRDefault="005D390D" w:rsidP="005D390D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lastRenderedPageBreak/>
              <w:t>5.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tabs>
                <w:tab w:val="left" w:pos="37"/>
              </w:tabs>
              <w:ind w:left="110" w:hanging="96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D390D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D390D" w:rsidRPr="008975BE" w:rsidRDefault="005D390D" w:rsidP="005D390D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D390D" w:rsidRPr="008975BE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5D390D" w:rsidRPr="002626F9" w:rsidRDefault="005D390D" w:rsidP="005D390D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5D390D" w:rsidRPr="00325A03" w:rsidTr="000B7EB5">
        <w:tc>
          <w:tcPr>
            <w:tcW w:w="10349" w:type="dxa"/>
            <w:gridSpan w:val="3"/>
          </w:tcPr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5D390D" w:rsidRPr="00325A03" w:rsidRDefault="005D390D" w:rsidP="005D390D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5D390D" w:rsidRPr="00325A03" w:rsidRDefault="005D390D" w:rsidP="005D390D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5D390D" w:rsidRPr="00325A03" w:rsidTr="000B7EB5">
        <w:tc>
          <w:tcPr>
            <w:tcW w:w="3545" w:type="dxa"/>
            <w:gridSpan w:val="2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5D390D" w:rsidRPr="00325A03" w:rsidRDefault="005D390D" w:rsidP="005D390D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5D390D" w:rsidRPr="00325A03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5D390D" w:rsidRPr="008975BE" w:rsidRDefault="005D390D" w:rsidP="005D390D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5D390D" w:rsidRPr="000F41E3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5D390D" w:rsidRPr="00CD4F25" w:rsidRDefault="005D390D" w:rsidP="005D390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5D390D" w:rsidRPr="00CD4F25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5D390D" w:rsidRDefault="005D390D" w:rsidP="005D390D">
            <w:pPr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 w:rsidR="00FA25D6">
              <w:rPr>
                <w:rStyle w:val="rvts9"/>
                <w:sz w:val="25"/>
                <w:szCs w:val="25"/>
                <w:lang w:val="uk-UA"/>
              </w:rPr>
              <w:t>»;</w:t>
            </w:r>
          </w:p>
          <w:p w:rsidR="00FA25D6" w:rsidRPr="00FA25D6" w:rsidRDefault="00FA25D6" w:rsidP="00FA25D6">
            <w:pPr>
              <w:jc w:val="both"/>
              <w:rPr>
                <w:sz w:val="25"/>
                <w:szCs w:val="25"/>
                <w:lang w:val="uk-UA"/>
              </w:rPr>
            </w:pPr>
            <w:r w:rsidRPr="00FA25D6">
              <w:rPr>
                <w:sz w:val="25"/>
                <w:szCs w:val="25"/>
                <w:lang w:val="uk-UA"/>
              </w:rPr>
              <w:t>Кодексу законів про працю України;</w:t>
            </w:r>
          </w:p>
          <w:p w:rsidR="00FA25D6" w:rsidRPr="00FA25D6" w:rsidRDefault="00FA25D6" w:rsidP="00FA25D6">
            <w:pPr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FA25D6">
              <w:rPr>
                <w:sz w:val="25"/>
                <w:szCs w:val="25"/>
                <w:lang w:val="uk-UA"/>
              </w:rPr>
              <w:t>«Про відпустки»</w:t>
            </w:r>
            <w:r>
              <w:rPr>
                <w:sz w:val="25"/>
                <w:szCs w:val="25"/>
                <w:lang w:val="uk-UA"/>
              </w:rPr>
              <w:t>.</w:t>
            </w:r>
          </w:p>
          <w:p w:rsidR="005D390D" w:rsidRPr="00025EE3" w:rsidRDefault="005D390D" w:rsidP="005D390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5D390D" w:rsidRPr="009F209F" w:rsidTr="000B7EB5">
        <w:tc>
          <w:tcPr>
            <w:tcW w:w="710" w:type="dxa"/>
          </w:tcPr>
          <w:p w:rsidR="005D390D" w:rsidRPr="00325A03" w:rsidRDefault="005D390D" w:rsidP="005D390D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5D390D" w:rsidRPr="00325A03" w:rsidRDefault="005D390D" w:rsidP="005D390D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5D390D" w:rsidRPr="008975BE" w:rsidRDefault="005D390D" w:rsidP="005D390D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</w:t>
            </w:r>
            <w:r w:rsidR="00FA25D6">
              <w:rPr>
                <w:sz w:val="25"/>
                <w:szCs w:val="25"/>
                <w:lang w:val="uk-UA"/>
              </w:rPr>
              <w:t>політики інформаційної безпеки.</w:t>
            </w:r>
          </w:p>
          <w:p w:rsidR="005D390D" w:rsidRPr="008975BE" w:rsidRDefault="005D390D" w:rsidP="005D390D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</w:p>
        </w:tc>
      </w:tr>
    </w:tbl>
    <w:p w:rsidR="008D65F2" w:rsidRDefault="008D65F2">
      <w:pPr>
        <w:rPr>
          <w:lang w:val="uk-UA"/>
        </w:rPr>
      </w:pPr>
    </w:p>
    <w:p w:rsidR="00E21EF4" w:rsidRPr="00325A03" w:rsidRDefault="00E21EF4" w:rsidP="005C6443">
      <w:pPr>
        <w:ind w:left="37"/>
        <w:rPr>
          <w:lang w:val="uk-UA"/>
        </w:rPr>
      </w:pPr>
    </w:p>
    <w:sectPr w:rsidR="00E21EF4" w:rsidRPr="00325A03" w:rsidSect="000E4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E180212"/>
    <w:multiLevelType w:val="hybridMultilevel"/>
    <w:tmpl w:val="2B4686FA"/>
    <w:lvl w:ilvl="0" w:tplc="0EF42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02084"/>
    <w:multiLevelType w:val="hybridMultilevel"/>
    <w:tmpl w:val="9CEA25A8"/>
    <w:lvl w:ilvl="0" w:tplc="093CA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531A8"/>
    <w:multiLevelType w:val="multilevel"/>
    <w:tmpl w:val="4C7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2FE"/>
    <w:rsid w:val="00003A96"/>
    <w:rsid w:val="00022E03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0E4CBC"/>
    <w:rsid w:val="000F41E3"/>
    <w:rsid w:val="00117A28"/>
    <w:rsid w:val="001431E2"/>
    <w:rsid w:val="001739C7"/>
    <w:rsid w:val="001848E8"/>
    <w:rsid w:val="001A4264"/>
    <w:rsid w:val="001A7B7B"/>
    <w:rsid w:val="001B7ED7"/>
    <w:rsid w:val="001E036C"/>
    <w:rsid w:val="001F18E9"/>
    <w:rsid w:val="001F5B38"/>
    <w:rsid w:val="0020361A"/>
    <w:rsid w:val="00207000"/>
    <w:rsid w:val="002200AB"/>
    <w:rsid w:val="00223C0A"/>
    <w:rsid w:val="00237270"/>
    <w:rsid w:val="002513B5"/>
    <w:rsid w:val="002626F9"/>
    <w:rsid w:val="00274E20"/>
    <w:rsid w:val="00287457"/>
    <w:rsid w:val="002A2CDD"/>
    <w:rsid w:val="002E6A8A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4D35C6"/>
    <w:rsid w:val="0052408B"/>
    <w:rsid w:val="005318CE"/>
    <w:rsid w:val="0053488D"/>
    <w:rsid w:val="00541E42"/>
    <w:rsid w:val="005576D7"/>
    <w:rsid w:val="005665DC"/>
    <w:rsid w:val="005759E8"/>
    <w:rsid w:val="00581194"/>
    <w:rsid w:val="005B3104"/>
    <w:rsid w:val="005C6443"/>
    <w:rsid w:val="005D390D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1432"/>
    <w:rsid w:val="00734515"/>
    <w:rsid w:val="007405EE"/>
    <w:rsid w:val="00767DC3"/>
    <w:rsid w:val="0077225F"/>
    <w:rsid w:val="007A2B98"/>
    <w:rsid w:val="007B3AEF"/>
    <w:rsid w:val="007C3E48"/>
    <w:rsid w:val="007D1A61"/>
    <w:rsid w:val="007D700F"/>
    <w:rsid w:val="0080121D"/>
    <w:rsid w:val="00810506"/>
    <w:rsid w:val="008459C1"/>
    <w:rsid w:val="008610A8"/>
    <w:rsid w:val="00866B4F"/>
    <w:rsid w:val="00884C71"/>
    <w:rsid w:val="00887AA6"/>
    <w:rsid w:val="008975BE"/>
    <w:rsid w:val="008B33DE"/>
    <w:rsid w:val="008B3AB1"/>
    <w:rsid w:val="008D4609"/>
    <w:rsid w:val="008D65F2"/>
    <w:rsid w:val="008E1AE5"/>
    <w:rsid w:val="008F17EA"/>
    <w:rsid w:val="00905C92"/>
    <w:rsid w:val="00922A63"/>
    <w:rsid w:val="00935607"/>
    <w:rsid w:val="00943168"/>
    <w:rsid w:val="00952A46"/>
    <w:rsid w:val="00963767"/>
    <w:rsid w:val="00966A68"/>
    <w:rsid w:val="00984BE0"/>
    <w:rsid w:val="0099366D"/>
    <w:rsid w:val="009E3060"/>
    <w:rsid w:val="009F209F"/>
    <w:rsid w:val="009F6832"/>
    <w:rsid w:val="00A139DF"/>
    <w:rsid w:val="00A2304A"/>
    <w:rsid w:val="00A41065"/>
    <w:rsid w:val="00A65885"/>
    <w:rsid w:val="00A9421E"/>
    <w:rsid w:val="00A95898"/>
    <w:rsid w:val="00A96352"/>
    <w:rsid w:val="00AB772C"/>
    <w:rsid w:val="00AC265D"/>
    <w:rsid w:val="00AF0574"/>
    <w:rsid w:val="00B06CCF"/>
    <w:rsid w:val="00B06E22"/>
    <w:rsid w:val="00B35C4D"/>
    <w:rsid w:val="00B67AF3"/>
    <w:rsid w:val="00B70F75"/>
    <w:rsid w:val="00B719ED"/>
    <w:rsid w:val="00BB42CC"/>
    <w:rsid w:val="00BB4E19"/>
    <w:rsid w:val="00BF15CE"/>
    <w:rsid w:val="00C0029D"/>
    <w:rsid w:val="00C3478D"/>
    <w:rsid w:val="00C4082D"/>
    <w:rsid w:val="00C628AF"/>
    <w:rsid w:val="00C9393E"/>
    <w:rsid w:val="00CC46DE"/>
    <w:rsid w:val="00CD4F25"/>
    <w:rsid w:val="00CD4F60"/>
    <w:rsid w:val="00CE0CAA"/>
    <w:rsid w:val="00D12CB7"/>
    <w:rsid w:val="00D51E12"/>
    <w:rsid w:val="00D5206A"/>
    <w:rsid w:val="00D63CF8"/>
    <w:rsid w:val="00D67FE5"/>
    <w:rsid w:val="00D70CFA"/>
    <w:rsid w:val="00D7760D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ED10DA"/>
    <w:rsid w:val="00F04BDB"/>
    <w:rsid w:val="00F33C82"/>
    <w:rsid w:val="00F77D50"/>
    <w:rsid w:val="00F801EF"/>
    <w:rsid w:val="00FA25D6"/>
    <w:rsid w:val="00FB1695"/>
    <w:rsid w:val="00FB4436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1848E8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8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d">
    <w:name w:val="Emphasis"/>
    <w:basedOn w:val="a0"/>
    <w:uiPriority w:val="20"/>
    <w:qFormat/>
    <w:rsid w:val="005C64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C32E8-AD97-4200-95B9-E4A62F4A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lenovo</cp:lastModifiedBy>
  <cp:revision>4</cp:revision>
  <cp:lastPrinted>2022-11-18T12:46:00Z</cp:lastPrinted>
  <dcterms:created xsi:type="dcterms:W3CDTF">2024-07-31T08:42:00Z</dcterms:created>
  <dcterms:modified xsi:type="dcterms:W3CDTF">2024-07-31T09:17:00Z</dcterms:modified>
</cp:coreProperties>
</file>